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B9DA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E46AEC" w14:paraId="3377C36E" w14:textId="77777777" w:rsidTr="005F7F7E">
        <w:tc>
          <w:tcPr>
            <w:tcW w:w="2438" w:type="dxa"/>
            <w:shd w:val="clear" w:color="auto" w:fill="auto"/>
          </w:tcPr>
          <w:p w14:paraId="324D0017" w14:textId="77777777" w:rsidR="00F445B1" w:rsidRPr="00B93B22" w:rsidRDefault="00F445B1" w:rsidP="004A6D2F">
            <w:pPr>
              <w:rPr>
                <w:rStyle w:val="Firstpagetablebold"/>
              </w:rPr>
            </w:pPr>
            <w:r w:rsidRPr="00B93B22">
              <w:rPr>
                <w:rStyle w:val="Firstpagetablebold"/>
              </w:rPr>
              <w:t>To</w:t>
            </w:r>
            <w:r w:rsidR="005C35A5" w:rsidRPr="00B93B22">
              <w:rPr>
                <w:rStyle w:val="Firstpagetablebold"/>
              </w:rPr>
              <w:t>:</w:t>
            </w:r>
          </w:p>
        </w:tc>
        <w:tc>
          <w:tcPr>
            <w:tcW w:w="6406" w:type="dxa"/>
            <w:shd w:val="clear" w:color="auto" w:fill="auto"/>
          </w:tcPr>
          <w:p w14:paraId="4F095110" w14:textId="77777777" w:rsidR="00F445B1" w:rsidRPr="00B93B22" w:rsidRDefault="00F445B1" w:rsidP="004A6D2F">
            <w:pPr>
              <w:rPr>
                <w:rStyle w:val="Firstpagetablebold"/>
              </w:rPr>
            </w:pPr>
            <w:r w:rsidRPr="00B93B22">
              <w:rPr>
                <w:rStyle w:val="Firstpagetablebold"/>
              </w:rPr>
              <w:t>C</w:t>
            </w:r>
            <w:r w:rsidR="0008659B" w:rsidRPr="00B93B22">
              <w:rPr>
                <w:rStyle w:val="Firstpagetablebold"/>
              </w:rPr>
              <w:t>abinet</w:t>
            </w:r>
          </w:p>
        </w:tc>
      </w:tr>
      <w:tr w:rsidR="00CE544A" w:rsidRPr="00E46AEC" w14:paraId="62AA5080" w14:textId="77777777" w:rsidTr="005F7F7E">
        <w:tc>
          <w:tcPr>
            <w:tcW w:w="2438" w:type="dxa"/>
            <w:shd w:val="clear" w:color="auto" w:fill="auto"/>
          </w:tcPr>
          <w:p w14:paraId="14912D07" w14:textId="77777777" w:rsidR="00F445B1" w:rsidRPr="00B93B22" w:rsidRDefault="00F445B1" w:rsidP="004A6D2F">
            <w:pPr>
              <w:rPr>
                <w:rStyle w:val="Firstpagetablebold"/>
              </w:rPr>
            </w:pPr>
            <w:r w:rsidRPr="00B93B22">
              <w:rPr>
                <w:rStyle w:val="Firstpagetablebold"/>
              </w:rPr>
              <w:t>Dat</w:t>
            </w:r>
            <w:r w:rsidR="005C35A5" w:rsidRPr="00B93B22">
              <w:rPr>
                <w:rStyle w:val="Firstpagetablebold"/>
              </w:rPr>
              <w:t>e:</w:t>
            </w:r>
          </w:p>
        </w:tc>
        <w:tc>
          <w:tcPr>
            <w:tcW w:w="6406" w:type="dxa"/>
            <w:shd w:val="clear" w:color="auto" w:fill="auto"/>
          </w:tcPr>
          <w:p w14:paraId="207925C2" w14:textId="7FC1DA44" w:rsidR="00F445B1" w:rsidRPr="00E46AEC" w:rsidRDefault="00E8171A" w:rsidP="005D0621">
            <w:pPr>
              <w:rPr>
                <w:b/>
                <w:highlight w:val="yellow"/>
              </w:rPr>
            </w:pPr>
            <w:r>
              <w:rPr>
                <w:rStyle w:val="Firstpagetablebold"/>
              </w:rPr>
              <w:t>26 Jan</w:t>
            </w:r>
            <w:r w:rsidR="00BE1987" w:rsidRPr="00FC29A6">
              <w:rPr>
                <w:rStyle w:val="Firstpagetablebold"/>
              </w:rPr>
              <w:t>uary 20</w:t>
            </w:r>
            <w:r w:rsidR="00DC5161" w:rsidRPr="00FC29A6">
              <w:rPr>
                <w:rStyle w:val="Firstpagetablebold"/>
              </w:rPr>
              <w:t>2</w:t>
            </w:r>
            <w:r>
              <w:rPr>
                <w:rStyle w:val="Firstpagetablebold"/>
              </w:rPr>
              <w:t>2</w:t>
            </w:r>
          </w:p>
        </w:tc>
      </w:tr>
      <w:tr w:rsidR="00CE544A" w:rsidRPr="00E46AEC" w14:paraId="5E31C382" w14:textId="77777777" w:rsidTr="005F7F7E">
        <w:tc>
          <w:tcPr>
            <w:tcW w:w="2438" w:type="dxa"/>
            <w:shd w:val="clear" w:color="auto" w:fill="auto"/>
          </w:tcPr>
          <w:p w14:paraId="3ADF3437" w14:textId="77777777" w:rsidR="00F445B1" w:rsidRPr="00B93B22" w:rsidRDefault="00F445B1" w:rsidP="004A6D2F">
            <w:pPr>
              <w:rPr>
                <w:rStyle w:val="Firstpagetablebold"/>
              </w:rPr>
            </w:pPr>
            <w:r w:rsidRPr="00B93B22">
              <w:rPr>
                <w:rStyle w:val="Firstpagetablebold"/>
              </w:rPr>
              <w:t>Report of</w:t>
            </w:r>
            <w:r w:rsidR="005C35A5" w:rsidRPr="00B93B22">
              <w:rPr>
                <w:rStyle w:val="Firstpagetablebold"/>
              </w:rPr>
              <w:t>:</w:t>
            </w:r>
          </w:p>
        </w:tc>
        <w:tc>
          <w:tcPr>
            <w:tcW w:w="6406" w:type="dxa"/>
            <w:shd w:val="clear" w:color="auto" w:fill="auto"/>
          </w:tcPr>
          <w:p w14:paraId="1FE2E32C" w14:textId="77777777" w:rsidR="00F445B1" w:rsidRPr="00B93B22" w:rsidRDefault="00BE1987" w:rsidP="00051428">
            <w:pPr>
              <w:rPr>
                <w:rStyle w:val="Firstpagetablebold"/>
              </w:rPr>
            </w:pPr>
            <w:r w:rsidRPr="00B93B22">
              <w:rPr>
                <w:rStyle w:val="Firstpagetablebold"/>
              </w:rPr>
              <w:t>Head of Financial Services</w:t>
            </w:r>
          </w:p>
        </w:tc>
      </w:tr>
      <w:tr w:rsidR="00CE544A" w:rsidRPr="00E46AEC" w14:paraId="0A809ABF" w14:textId="77777777" w:rsidTr="005F7F7E">
        <w:tc>
          <w:tcPr>
            <w:tcW w:w="2438" w:type="dxa"/>
            <w:shd w:val="clear" w:color="auto" w:fill="auto"/>
          </w:tcPr>
          <w:p w14:paraId="362638BB" w14:textId="77777777" w:rsidR="00F445B1" w:rsidRPr="00B93B22" w:rsidRDefault="00F445B1" w:rsidP="004A6D2F">
            <w:pPr>
              <w:rPr>
                <w:rStyle w:val="Firstpagetablebold"/>
              </w:rPr>
            </w:pPr>
            <w:r w:rsidRPr="00B93B22">
              <w:rPr>
                <w:rStyle w:val="Firstpagetablebold"/>
              </w:rPr>
              <w:t xml:space="preserve">Title of Report: </w:t>
            </w:r>
          </w:p>
        </w:tc>
        <w:tc>
          <w:tcPr>
            <w:tcW w:w="6406" w:type="dxa"/>
            <w:shd w:val="clear" w:color="auto" w:fill="auto"/>
          </w:tcPr>
          <w:p w14:paraId="735B23FD" w14:textId="77777777" w:rsidR="00F445B1" w:rsidRPr="00B93B22" w:rsidRDefault="00051428" w:rsidP="004A6D2F">
            <w:pPr>
              <w:rPr>
                <w:rStyle w:val="Firstpagetablebold"/>
              </w:rPr>
            </w:pPr>
            <w:r w:rsidRPr="00B93B22">
              <w:rPr>
                <w:rStyle w:val="Firstpagetablebold"/>
              </w:rPr>
              <w:t>Co</w:t>
            </w:r>
            <w:r w:rsidR="00BE1987" w:rsidRPr="00B93B22">
              <w:rPr>
                <w:rStyle w:val="Firstpagetablebold"/>
              </w:rPr>
              <w:t>uncil Tax Reduction Scheme 20</w:t>
            </w:r>
            <w:r w:rsidR="00E8171A">
              <w:rPr>
                <w:rStyle w:val="Firstpagetablebold"/>
              </w:rPr>
              <w:t>22</w:t>
            </w:r>
            <w:r w:rsidR="00BE1987" w:rsidRPr="00B93B22">
              <w:rPr>
                <w:rStyle w:val="Firstpagetablebold"/>
              </w:rPr>
              <w:t>/2</w:t>
            </w:r>
            <w:r w:rsidR="00E8171A">
              <w:rPr>
                <w:rStyle w:val="Firstpagetablebold"/>
              </w:rPr>
              <w:t>3</w:t>
            </w:r>
          </w:p>
        </w:tc>
      </w:tr>
    </w:tbl>
    <w:p w14:paraId="02BD525B" w14:textId="77777777" w:rsidR="004F20EF" w:rsidRPr="00E46AEC" w:rsidRDefault="004F20EF" w:rsidP="004A6D2F">
      <w:pPr>
        <w:rPr>
          <w:highlight w:val="yellow"/>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8171A" w14:paraId="73AC3BB6" w14:textId="77777777" w:rsidTr="0080749A">
        <w:tc>
          <w:tcPr>
            <w:tcW w:w="8845" w:type="dxa"/>
            <w:gridSpan w:val="3"/>
            <w:tcBorders>
              <w:bottom w:val="single" w:sz="8" w:space="0" w:color="000000"/>
            </w:tcBorders>
            <w:hideMark/>
          </w:tcPr>
          <w:p w14:paraId="340D0CAE" w14:textId="77777777" w:rsidR="00D5547E" w:rsidRPr="00E8171A" w:rsidRDefault="00745BF0" w:rsidP="00745BF0">
            <w:pPr>
              <w:jc w:val="center"/>
              <w:rPr>
                <w:rStyle w:val="Firstpagetablebold"/>
                <w:highlight w:val="yellow"/>
              </w:rPr>
            </w:pPr>
            <w:r w:rsidRPr="00E8171A">
              <w:rPr>
                <w:rStyle w:val="Firstpagetablebold"/>
              </w:rPr>
              <w:t>Summary and r</w:t>
            </w:r>
            <w:r w:rsidR="00D5547E" w:rsidRPr="00E8171A">
              <w:rPr>
                <w:rStyle w:val="Firstpagetablebold"/>
              </w:rPr>
              <w:t>ecommendations</w:t>
            </w:r>
          </w:p>
        </w:tc>
      </w:tr>
      <w:tr w:rsidR="00D5547E" w:rsidRPr="00E8171A" w14:paraId="76B7E910" w14:textId="77777777" w:rsidTr="0080749A">
        <w:tc>
          <w:tcPr>
            <w:tcW w:w="2438" w:type="dxa"/>
            <w:gridSpan w:val="2"/>
            <w:tcBorders>
              <w:top w:val="single" w:sz="8" w:space="0" w:color="000000"/>
              <w:left w:val="single" w:sz="8" w:space="0" w:color="000000"/>
              <w:bottom w:val="nil"/>
              <w:right w:val="nil"/>
            </w:tcBorders>
            <w:hideMark/>
          </w:tcPr>
          <w:p w14:paraId="317BB76B" w14:textId="77777777" w:rsidR="00D5547E" w:rsidRPr="00E8171A" w:rsidRDefault="00D5547E">
            <w:pPr>
              <w:rPr>
                <w:rStyle w:val="Firstpagetablebold"/>
              </w:rPr>
            </w:pPr>
            <w:r w:rsidRPr="00E8171A">
              <w:rPr>
                <w:rStyle w:val="Firstpagetablebold"/>
              </w:rPr>
              <w:t>Purpose of report:</w:t>
            </w:r>
          </w:p>
        </w:tc>
        <w:tc>
          <w:tcPr>
            <w:tcW w:w="6407" w:type="dxa"/>
            <w:tcBorders>
              <w:top w:val="single" w:sz="8" w:space="0" w:color="000000"/>
              <w:left w:val="nil"/>
              <w:bottom w:val="nil"/>
              <w:right w:val="single" w:sz="8" w:space="0" w:color="000000"/>
            </w:tcBorders>
            <w:hideMark/>
          </w:tcPr>
          <w:p w14:paraId="723858E9" w14:textId="77777777" w:rsidR="00D5547E" w:rsidRPr="00864925" w:rsidRDefault="00051428" w:rsidP="00A8106D">
            <w:r w:rsidRPr="00864925">
              <w:t xml:space="preserve">To consider the feedback from the recent consultation on the proposed </w:t>
            </w:r>
            <w:r w:rsidR="00F60052" w:rsidRPr="00864925">
              <w:t>changes to the</w:t>
            </w:r>
            <w:r w:rsidR="00AA266D" w:rsidRPr="00864925">
              <w:t xml:space="preserve"> 2022/23</w:t>
            </w:r>
            <w:r w:rsidR="00392B17" w:rsidRPr="00864925">
              <w:t xml:space="preserve"> </w:t>
            </w:r>
            <w:r w:rsidR="00CC3009" w:rsidRPr="00864925">
              <w:t>Council Tax Reduction</w:t>
            </w:r>
            <w:r w:rsidRPr="00864925">
              <w:t xml:space="preserve"> Scheme and to agree the principles of the new scheme to be drawn up for approval by Council </w:t>
            </w:r>
          </w:p>
        </w:tc>
      </w:tr>
      <w:tr w:rsidR="00D5547E" w:rsidRPr="00E8171A" w14:paraId="6426E651" w14:textId="77777777" w:rsidTr="0080749A">
        <w:tc>
          <w:tcPr>
            <w:tcW w:w="2438" w:type="dxa"/>
            <w:gridSpan w:val="2"/>
            <w:tcBorders>
              <w:top w:val="nil"/>
              <w:left w:val="single" w:sz="8" w:space="0" w:color="000000"/>
              <w:bottom w:val="nil"/>
              <w:right w:val="nil"/>
            </w:tcBorders>
            <w:hideMark/>
          </w:tcPr>
          <w:p w14:paraId="087505EC" w14:textId="77777777" w:rsidR="00D5547E" w:rsidRPr="00E8171A" w:rsidRDefault="00D5547E">
            <w:pPr>
              <w:rPr>
                <w:rStyle w:val="Firstpagetablebold"/>
              </w:rPr>
            </w:pPr>
            <w:r w:rsidRPr="00E8171A">
              <w:rPr>
                <w:rStyle w:val="Firstpagetablebold"/>
              </w:rPr>
              <w:t>Key decision:</w:t>
            </w:r>
          </w:p>
        </w:tc>
        <w:tc>
          <w:tcPr>
            <w:tcW w:w="6407" w:type="dxa"/>
            <w:tcBorders>
              <w:top w:val="nil"/>
              <w:left w:val="nil"/>
              <w:bottom w:val="nil"/>
              <w:right w:val="single" w:sz="8" w:space="0" w:color="000000"/>
            </w:tcBorders>
            <w:hideMark/>
          </w:tcPr>
          <w:p w14:paraId="0C70F2FF" w14:textId="77777777" w:rsidR="00D5547E" w:rsidRPr="00864925" w:rsidRDefault="00D5547E" w:rsidP="005F7F7E">
            <w:r w:rsidRPr="00864925">
              <w:t>Ye</w:t>
            </w:r>
            <w:r w:rsidR="00F60052" w:rsidRPr="00864925">
              <w:t>s</w:t>
            </w:r>
          </w:p>
        </w:tc>
      </w:tr>
      <w:tr w:rsidR="00D5547E" w:rsidRPr="00E8171A" w14:paraId="71FD2970" w14:textId="77777777" w:rsidTr="0080749A">
        <w:tc>
          <w:tcPr>
            <w:tcW w:w="2438" w:type="dxa"/>
            <w:gridSpan w:val="2"/>
            <w:tcBorders>
              <w:top w:val="nil"/>
              <w:left w:val="single" w:sz="8" w:space="0" w:color="000000"/>
              <w:bottom w:val="nil"/>
              <w:right w:val="nil"/>
            </w:tcBorders>
            <w:hideMark/>
          </w:tcPr>
          <w:p w14:paraId="435EAEC8" w14:textId="1B9CAD5F" w:rsidR="00D5547E" w:rsidRPr="00E8171A" w:rsidRDefault="009B677A">
            <w:pPr>
              <w:rPr>
                <w:rStyle w:val="Firstpagetablebold"/>
              </w:rPr>
            </w:pPr>
            <w:r>
              <w:rPr>
                <w:rStyle w:val="Firstpagetablebold"/>
              </w:rPr>
              <w:t>Cabinet</w:t>
            </w:r>
            <w:r w:rsidR="00D5547E" w:rsidRPr="00E8171A">
              <w:rPr>
                <w:rStyle w:val="Firstpagetablebold"/>
              </w:rPr>
              <w:t xml:space="preserve"> Member:</w:t>
            </w:r>
          </w:p>
        </w:tc>
        <w:tc>
          <w:tcPr>
            <w:tcW w:w="6407" w:type="dxa"/>
            <w:tcBorders>
              <w:top w:val="nil"/>
              <w:left w:val="nil"/>
              <w:bottom w:val="nil"/>
              <w:right w:val="single" w:sz="8" w:space="0" w:color="000000"/>
            </w:tcBorders>
            <w:hideMark/>
          </w:tcPr>
          <w:p w14:paraId="22640414" w14:textId="77777777" w:rsidR="00D5547E" w:rsidRPr="00864925" w:rsidRDefault="00D5547E" w:rsidP="00864925">
            <w:r w:rsidRPr="00864925">
              <w:t xml:space="preserve">Councillor </w:t>
            </w:r>
            <w:r w:rsidR="00AA266D" w:rsidRPr="00864925">
              <w:t>Shaista Aziz</w:t>
            </w:r>
            <w:r w:rsidRPr="00864925">
              <w:t xml:space="preserve">, </w:t>
            </w:r>
            <w:r w:rsidR="00864925" w:rsidRPr="00864925">
              <w:t>Inclusive Communities</w:t>
            </w:r>
          </w:p>
        </w:tc>
      </w:tr>
      <w:tr w:rsidR="0080749A" w:rsidRPr="00E8171A" w14:paraId="23BE745B" w14:textId="77777777" w:rsidTr="0080749A">
        <w:tc>
          <w:tcPr>
            <w:tcW w:w="2438" w:type="dxa"/>
            <w:gridSpan w:val="2"/>
            <w:tcBorders>
              <w:top w:val="nil"/>
              <w:left w:val="single" w:sz="8" w:space="0" w:color="000000"/>
              <w:bottom w:val="nil"/>
              <w:right w:val="nil"/>
            </w:tcBorders>
          </w:tcPr>
          <w:p w14:paraId="182B940B" w14:textId="77777777" w:rsidR="0080749A" w:rsidRPr="00E8171A" w:rsidRDefault="0080749A">
            <w:pPr>
              <w:rPr>
                <w:rStyle w:val="Firstpagetablebold"/>
              </w:rPr>
            </w:pPr>
            <w:r w:rsidRPr="00E8171A">
              <w:rPr>
                <w:rStyle w:val="Firstpagetablebold"/>
              </w:rPr>
              <w:t>Corporate Priority:</w:t>
            </w:r>
          </w:p>
        </w:tc>
        <w:tc>
          <w:tcPr>
            <w:tcW w:w="6407" w:type="dxa"/>
            <w:tcBorders>
              <w:top w:val="nil"/>
              <w:left w:val="nil"/>
              <w:bottom w:val="nil"/>
              <w:right w:val="single" w:sz="8" w:space="0" w:color="000000"/>
            </w:tcBorders>
          </w:tcPr>
          <w:p w14:paraId="5ADB2244" w14:textId="77777777" w:rsidR="0080749A" w:rsidRPr="00864925" w:rsidRDefault="007921BC" w:rsidP="005F7F7E">
            <w:r w:rsidRPr="00864925">
              <w:t>All</w:t>
            </w:r>
          </w:p>
        </w:tc>
      </w:tr>
      <w:tr w:rsidR="00D5547E" w:rsidRPr="00E8171A" w14:paraId="61E8E519" w14:textId="77777777" w:rsidTr="0080749A">
        <w:tc>
          <w:tcPr>
            <w:tcW w:w="2438" w:type="dxa"/>
            <w:gridSpan w:val="2"/>
            <w:tcBorders>
              <w:top w:val="nil"/>
              <w:left w:val="single" w:sz="8" w:space="0" w:color="000000"/>
              <w:bottom w:val="nil"/>
              <w:right w:val="nil"/>
            </w:tcBorders>
            <w:hideMark/>
          </w:tcPr>
          <w:p w14:paraId="5C827EE1" w14:textId="77777777" w:rsidR="00D5547E" w:rsidRPr="00E8171A" w:rsidRDefault="00D5547E">
            <w:pPr>
              <w:rPr>
                <w:rStyle w:val="Firstpagetablebold"/>
              </w:rPr>
            </w:pPr>
            <w:r w:rsidRPr="00E8171A">
              <w:rPr>
                <w:rStyle w:val="Firstpagetablebold"/>
              </w:rPr>
              <w:t>Policy Framework:</w:t>
            </w:r>
          </w:p>
        </w:tc>
        <w:tc>
          <w:tcPr>
            <w:tcW w:w="6407" w:type="dxa"/>
            <w:tcBorders>
              <w:top w:val="nil"/>
              <w:left w:val="nil"/>
              <w:bottom w:val="nil"/>
              <w:right w:val="single" w:sz="8" w:space="0" w:color="000000"/>
            </w:tcBorders>
            <w:hideMark/>
          </w:tcPr>
          <w:p w14:paraId="154A63F2" w14:textId="024402DE" w:rsidR="00D5547E" w:rsidRPr="00864925" w:rsidRDefault="009B677A" w:rsidP="005F7F7E">
            <w:r>
              <w:rPr>
                <w:rFonts w:cs="Arial"/>
                <w:color w:val="auto"/>
              </w:rPr>
              <w:t>Council</w:t>
            </w:r>
            <w:r w:rsidR="00A8106D" w:rsidRPr="00864925">
              <w:rPr>
                <w:rFonts w:cs="Arial"/>
                <w:color w:val="auto"/>
              </w:rPr>
              <w:t xml:space="preserve"> Strategy</w:t>
            </w:r>
            <w:r>
              <w:rPr>
                <w:rFonts w:cs="Arial"/>
                <w:color w:val="auto"/>
              </w:rPr>
              <w:t xml:space="preserve"> 2020 - 24</w:t>
            </w:r>
          </w:p>
        </w:tc>
      </w:tr>
      <w:tr w:rsidR="005F7F7E" w:rsidRPr="00E8171A" w14:paraId="143842F3" w14:textId="77777777" w:rsidTr="00A46E98">
        <w:trPr>
          <w:trHeight w:val="413"/>
        </w:trPr>
        <w:tc>
          <w:tcPr>
            <w:tcW w:w="8845" w:type="dxa"/>
            <w:gridSpan w:val="3"/>
            <w:tcBorders>
              <w:bottom w:val="single" w:sz="8" w:space="0" w:color="000000"/>
            </w:tcBorders>
          </w:tcPr>
          <w:p w14:paraId="3EA9D409" w14:textId="77777777" w:rsidR="005F7F7E" w:rsidRPr="00E8171A" w:rsidRDefault="005F7F7E" w:rsidP="00AA496A">
            <w:pPr>
              <w:rPr>
                <w:highlight w:val="yellow"/>
              </w:rPr>
            </w:pPr>
            <w:r w:rsidRPr="00864925">
              <w:rPr>
                <w:rStyle w:val="Firstpagetablebold"/>
              </w:rPr>
              <w:t xml:space="preserve">Recommendation(s):That </w:t>
            </w:r>
            <w:r w:rsidR="00AA496A" w:rsidRPr="00864925">
              <w:rPr>
                <w:rStyle w:val="Firstpagetablebold"/>
              </w:rPr>
              <w:t>Cabinet</w:t>
            </w:r>
            <w:r w:rsidRPr="00864925">
              <w:rPr>
                <w:rStyle w:val="Firstpagetablebold"/>
              </w:rPr>
              <w:t xml:space="preserve"> resolves to:</w:t>
            </w:r>
          </w:p>
        </w:tc>
      </w:tr>
      <w:tr w:rsidR="0030208D" w:rsidRPr="00E8171A" w14:paraId="6B81AF2F" w14:textId="77777777" w:rsidTr="00A46E98">
        <w:trPr>
          <w:trHeight w:val="283"/>
        </w:trPr>
        <w:tc>
          <w:tcPr>
            <w:tcW w:w="426" w:type="dxa"/>
            <w:tcBorders>
              <w:top w:val="single" w:sz="8" w:space="0" w:color="000000"/>
              <w:left w:val="single" w:sz="8" w:space="0" w:color="000000"/>
              <w:bottom w:val="nil"/>
              <w:right w:val="nil"/>
            </w:tcBorders>
          </w:tcPr>
          <w:p w14:paraId="4D6D2A69" w14:textId="77777777" w:rsidR="0030208D" w:rsidRPr="00864925" w:rsidRDefault="00046D2B" w:rsidP="004A6D2F">
            <w:r w:rsidRPr="00864925">
              <w:t>1.</w:t>
            </w:r>
          </w:p>
        </w:tc>
        <w:tc>
          <w:tcPr>
            <w:tcW w:w="8419" w:type="dxa"/>
            <w:gridSpan w:val="2"/>
            <w:tcBorders>
              <w:top w:val="single" w:sz="8" w:space="0" w:color="000000"/>
              <w:left w:val="nil"/>
              <w:bottom w:val="nil"/>
              <w:right w:val="single" w:sz="8" w:space="0" w:color="000000"/>
            </w:tcBorders>
            <w:shd w:val="clear" w:color="auto" w:fill="auto"/>
          </w:tcPr>
          <w:p w14:paraId="7000D895" w14:textId="77777777" w:rsidR="0030208D" w:rsidRPr="00864925" w:rsidRDefault="009F50C5" w:rsidP="009F50C5">
            <w:pPr>
              <w:rPr>
                <w:b/>
              </w:rPr>
            </w:pPr>
            <w:r w:rsidRPr="00864925">
              <w:rPr>
                <w:rStyle w:val="Firstpagetablebold"/>
              </w:rPr>
              <w:t>Note</w:t>
            </w:r>
            <w:r w:rsidRPr="00864925">
              <w:rPr>
                <w:rStyle w:val="Firstpagetablebold"/>
                <w:b w:val="0"/>
              </w:rPr>
              <w:t xml:space="preserve"> the outcome of the consultation on the proposed Council Tax Reduction Scheme.</w:t>
            </w:r>
          </w:p>
        </w:tc>
      </w:tr>
      <w:tr w:rsidR="0030208D" w:rsidRPr="00E8171A" w14:paraId="1701760A" w14:textId="77777777" w:rsidTr="00A46E98">
        <w:trPr>
          <w:trHeight w:val="283"/>
        </w:trPr>
        <w:tc>
          <w:tcPr>
            <w:tcW w:w="426" w:type="dxa"/>
            <w:tcBorders>
              <w:top w:val="nil"/>
              <w:left w:val="single" w:sz="8" w:space="0" w:color="000000"/>
              <w:bottom w:val="nil"/>
              <w:right w:val="nil"/>
            </w:tcBorders>
          </w:tcPr>
          <w:p w14:paraId="692A7D02" w14:textId="77777777" w:rsidR="0030208D" w:rsidRPr="00196859" w:rsidRDefault="00046D2B" w:rsidP="004A6D2F">
            <w:r w:rsidRPr="00196859">
              <w:t>2.</w:t>
            </w:r>
          </w:p>
        </w:tc>
        <w:tc>
          <w:tcPr>
            <w:tcW w:w="8419" w:type="dxa"/>
            <w:gridSpan w:val="2"/>
            <w:tcBorders>
              <w:top w:val="nil"/>
              <w:left w:val="nil"/>
              <w:bottom w:val="nil"/>
              <w:right w:val="single" w:sz="8" w:space="0" w:color="000000"/>
            </w:tcBorders>
            <w:shd w:val="clear" w:color="auto" w:fill="auto"/>
          </w:tcPr>
          <w:p w14:paraId="1E0A94F6" w14:textId="74F640E6" w:rsidR="0030208D" w:rsidRPr="00196859" w:rsidRDefault="00CC3009" w:rsidP="000E7993">
            <w:pPr>
              <w:rPr>
                <w:b/>
              </w:rPr>
            </w:pPr>
            <w:r w:rsidRPr="00196859">
              <w:rPr>
                <w:rStyle w:val="Firstpagetablebold"/>
              </w:rPr>
              <w:t xml:space="preserve">Delegate </w:t>
            </w:r>
            <w:r w:rsidRPr="00196859">
              <w:rPr>
                <w:rStyle w:val="Firstpagetablebold"/>
                <w:b w:val="0"/>
              </w:rPr>
              <w:t>authority to</w:t>
            </w:r>
            <w:r w:rsidR="009F50C5" w:rsidRPr="00196859">
              <w:rPr>
                <w:rStyle w:val="Firstpagetablebold"/>
                <w:b w:val="0"/>
              </w:rPr>
              <w:t xml:space="preserve"> </w:t>
            </w:r>
            <w:r w:rsidR="00A152DD" w:rsidRPr="00196859">
              <w:rPr>
                <w:rStyle w:val="Firstpagetablebold"/>
                <w:b w:val="0"/>
              </w:rPr>
              <w:t xml:space="preserve">the </w:t>
            </w:r>
            <w:r w:rsidR="00BE1987" w:rsidRPr="00196859">
              <w:rPr>
                <w:rStyle w:val="Firstpagetablebold"/>
                <w:b w:val="0"/>
              </w:rPr>
              <w:t xml:space="preserve">Head of Financial </w:t>
            </w:r>
            <w:r w:rsidR="00A152DD" w:rsidRPr="00196859">
              <w:rPr>
                <w:rStyle w:val="Firstpagetablebold"/>
                <w:b w:val="0"/>
              </w:rPr>
              <w:t xml:space="preserve">Services </w:t>
            </w:r>
            <w:r w:rsidR="009F50C5" w:rsidRPr="00196859">
              <w:rPr>
                <w:rStyle w:val="Firstpagetablebold"/>
                <w:b w:val="0"/>
              </w:rPr>
              <w:t xml:space="preserve"> to draft the details of the new Counc</w:t>
            </w:r>
            <w:r w:rsidRPr="00196859">
              <w:rPr>
                <w:rStyle w:val="Firstpagetablebold"/>
                <w:b w:val="0"/>
              </w:rPr>
              <w:t>il Tax Reduction Scheme for 202</w:t>
            </w:r>
            <w:r w:rsidR="00864925" w:rsidRPr="00196859">
              <w:rPr>
                <w:rStyle w:val="Firstpagetablebold"/>
                <w:b w:val="0"/>
              </w:rPr>
              <w:t>2</w:t>
            </w:r>
            <w:r w:rsidR="007635D4" w:rsidRPr="00196859">
              <w:rPr>
                <w:rStyle w:val="Firstpagetablebold"/>
                <w:b w:val="0"/>
              </w:rPr>
              <w:t>/</w:t>
            </w:r>
            <w:r w:rsidR="00864925" w:rsidRPr="00196859">
              <w:rPr>
                <w:rStyle w:val="Firstpagetablebold"/>
                <w:b w:val="0"/>
              </w:rPr>
              <w:t>23</w:t>
            </w:r>
            <w:r w:rsidR="00193AC0" w:rsidRPr="00196859">
              <w:rPr>
                <w:rStyle w:val="Firstpagetablebold"/>
                <w:b w:val="0"/>
              </w:rPr>
              <w:t xml:space="preserve"> in accordance with paragraph</w:t>
            </w:r>
            <w:r w:rsidR="000E7993">
              <w:rPr>
                <w:rStyle w:val="Firstpagetablebold"/>
                <w:b w:val="0"/>
              </w:rPr>
              <w:t>s 8 to 11</w:t>
            </w:r>
            <w:r w:rsidR="004C23E3" w:rsidRPr="00196859">
              <w:rPr>
                <w:rStyle w:val="Firstpagetablebold"/>
                <w:b w:val="0"/>
              </w:rPr>
              <w:t xml:space="preserve"> </w:t>
            </w:r>
            <w:r w:rsidR="000E7993">
              <w:rPr>
                <w:rStyle w:val="Firstpagetablebold"/>
                <w:b w:val="0"/>
              </w:rPr>
              <w:t xml:space="preserve">of </w:t>
            </w:r>
            <w:r w:rsidR="004C23E3" w:rsidRPr="00196859">
              <w:rPr>
                <w:rStyle w:val="Firstpagetablebold"/>
                <w:b w:val="0"/>
              </w:rPr>
              <w:t>this report</w:t>
            </w:r>
            <w:r w:rsidR="00232DA4">
              <w:rPr>
                <w:rStyle w:val="Firstpagetablebold"/>
                <w:b w:val="0"/>
              </w:rPr>
              <w:t xml:space="preserve"> which sets out the proposed implementation and changes to the Scheme</w:t>
            </w:r>
            <w:r w:rsidR="002069B3" w:rsidRPr="00196859">
              <w:rPr>
                <w:b/>
              </w:rPr>
              <w:t>;</w:t>
            </w:r>
            <w:r w:rsidRPr="00196859">
              <w:rPr>
                <w:b/>
              </w:rPr>
              <w:t xml:space="preserve"> </w:t>
            </w:r>
            <w:r w:rsidRPr="00196859">
              <w:t>and</w:t>
            </w:r>
          </w:p>
        </w:tc>
      </w:tr>
      <w:tr w:rsidR="00232F5B" w:rsidRPr="00E8171A" w14:paraId="555108B5" w14:textId="77777777" w:rsidTr="00A46E98">
        <w:trPr>
          <w:trHeight w:val="283"/>
        </w:trPr>
        <w:tc>
          <w:tcPr>
            <w:tcW w:w="426" w:type="dxa"/>
            <w:tcBorders>
              <w:top w:val="nil"/>
              <w:left w:val="single" w:sz="8" w:space="0" w:color="000000"/>
              <w:bottom w:val="nil"/>
              <w:right w:val="nil"/>
            </w:tcBorders>
          </w:tcPr>
          <w:p w14:paraId="2E1A1ADA" w14:textId="77777777" w:rsidR="0030208D" w:rsidRPr="00196859" w:rsidRDefault="00046D2B" w:rsidP="004A6D2F">
            <w:r w:rsidRPr="00196859">
              <w:t>3.</w:t>
            </w:r>
          </w:p>
        </w:tc>
        <w:tc>
          <w:tcPr>
            <w:tcW w:w="8419" w:type="dxa"/>
            <w:gridSpan w:val="2"/>
            <w:tcBorders>
              <w:top w:val="nil"/>
              <w:left w:val="nil"/>
              <w:bottom w:val="nil"/>
              <w:right w:val="single" w:sz="8" w:space="0" w:color="000000"/>
            </w:tcBorders>
            <w:shd w:val="clear" w:color="auto" w:fill="auto"/>
          </w:tcPr>
          <w:p w14:paraId="3A84E008" w14:textId="684D1386" w:rsidR="00196859" w:rsidRPr="00196859" w:rsidRDefault="00185FA5" w:rsidP="002069B3">
            <w:pPr>
              <w:rPr>
                <w:rStyle w:val="Firstpagetablebold"/>
                <w:b w:val="0"/>
              </w:rPr>
            </w:pPr>
            <w:r w:rsidRPr="00196859">
              <w:rPr>
                <w:rStyle w:val="Firstpagetablebold"/>
              </w:rPr>
              <w:t>Recommend</w:t>
            </w:r>
            <w:r w:rsidRPr="00196859">
              <w:rPr>
                <w:rStyle w:val="Firstpagetablebold"/>
                <w:b w:val="0"/>
              </w:rPr>
              <w:t xml:space="preserve"> </w:t>
            </w:r>
            <w:r w:rsidR="001E36AC">
              <w:rPr>
                <w:rStyle w:val="Firstpagetablebold"/>
                <w:b w:val="0"/>
              </w:rPr>
              <w:t xml:space="preserve">to </w:t>
            </w:r>
            <w:r w:rsidRPr="00196859">
              <w:rPr>
                <w:rStyle w:val="Firstpagetablebold"/>
                <w:b w:val="0"/>
              </w:rPr>
              <w:t>Council to resolve to adopt the new Local Council Tax Reduction Scheme</w:t>
            </w:r>
            <w:r w:rsidR="00864925" w:rsidRPr="00196859">
              <w:rPr>
                <w:rStyle w:val="Firstpagetablebold"/>
                <w:b w:val="0"/>
              </w:rPr>
              <w:t xml:space="preserve"> for 2022/23</w:t>
            </w:r>
            <w:r w:rsidR="00544856" w:rsidRPr="00196859">
              <w:rPr>
                <w:rStyle w:val="Firstpagetablebold"/>
                <w:b w:val="0"/>
              </w:rPr>
              <w:t xml:space="preserve"> taking into account the </w:t>
            </w:r>
            <w:r w:rsidR="00196859" w:rsidRPr="00196859">
              <w:rPr>
                <w:rStyle w:val="Firstpagetablebold"/>
                <w:b w:val="0"/>
              </w:rPr>
              <w:t>following:</w:t>
            </w:r>
          </w:p>
          <w:p w14:paraId="16936DA6" w14:textId="268AE3BC" w:rsidR="00196859" w:rsidRPr="00196859" w:rsidRDefault="00196859" w:rsidP="00196859">
            <w:pPr>
              <w:pStyle w:val="ListParagraph"/>
              <w:numPr>
                <w:ilvl w:val="0"/>
                <w:numId w:val="42"/>
              </w:numPr>
              <w:rPr>
                <w:rStyle w:val="Firstpagetablebold"/>
                <w:b w:val="0"/>
              </w:rPr>
            </w:pPr>
            <w:r w:rsidRPr="00196859">
              <w:rPr>
                <w:rStyle w:val="Firstpagetablebold"/>
                <w:b w:val="0"/>
              </w:rPr>
              <w:t xml:space="preserve">To increase the Income Bands in line with </w:t>
            </w:r>
            <w:r w:rsidR="001913BC">
              <w:rPr>
                <w:rStyle w:val="Firstpagetablebold"/>
                <w:b w:val="0"/>
              </w:rPr>
              <w:t>para</w:t>
            </w:r>
            <w:r w:rsidR="00463DD7">
              <w:rPr>
                <w:rStyle w:val="Firstpagetablebold"/>
                <w:b w:val="0"/>
              </w:rPr>
              <w:t>graph</w:t>
            </w:r>
            <w:r w:rsidR="001913BC">
              <w:rPr>
                <w:rStyle w:val="Firstpagetablebold"/>
                <w:b w:val="0"/>
              </w:rPr>
              <w:t xml:space="preserve"> 8 Table 1 </w:t>
            </w:r>
            <w:r w:rsidRPr="00196859">
              <w:rPr>
                <w:rStyle w:val="Firstpagetablebold"/>
                <w:b w:val="0"/>
              </w:rPr>
              <w:t>using CPI for the Benefit Cap uprating</w:t>
            </w:r>
            <w:r w:rsidR="00463DD7">
              <w:rPr>
                <w:rStyle w:val="Firstpagetablebold"/>
                <w:b w:val="0"/>
              </w:rPr>
              <w:t>;</w:t>
            </w:r>
          </w:p>
          <w:p w14:paraId="30E22B82" w14:textId="394F72F2" w:rsidR="00196859" w:rsidRPr="00196859" w:rsidRDefault="00196859" w:rsidP="00196859">
            <w:pPr>
              <w:pStyle w:val="ListParagraph"/>
              <w:numPr>
                <w:ilvl w:val="0"/>
                <w:numId w:val="42"/>
              </w:numPr>
              <w:rPr>
                <w:rStyle w:val="Firstpagetablebold"/>
                <w:b w:val="0"/>
              </w:rPr>
            </w:pPr>
            <w:r w:rsidRPr="00196859">
              <w:rPr>
                <w:rStyle w:val="Firstpagetablebold"/>
                <w:b w:val="0"/>
              </w:rPr>
              <w:t>To continue to support a 100% CTR entitlement</w:t>
            </w:r>
            <w:r w:rsidR="00463DD7">
              <w:rPr>
                <w:rStyle w:val="Firstpagetablebold"/>
                <w:b w:val="0"/>
              </w:rPr>
              <w:t>;</w:t>
            </w:r>
          </w:p>
          <w:p w14:paraId="6FABE886" w14:textId="7B556339" w:rsidR="00196859" w:rsidRPr="00196859" w:rsidRDefault="00196859" w:rsidP="00196859">
            <w:pPr>
              <w:pStyle w:val="ListParagraph"/>
              <w:numPr>
                <w:ilvl w:val="0"/>
                <w:numId w:val="42"/>
              </w:numPr>
              <w:rPr>
                <w:rStyle w:val="Firstpagetablebold"/>
                <w:b w:val="0"/>
              </w:rPr>
            </w:pPr>
            <w:r w:rsidRPr="00196859">
              <w:rPr>
                <w:rStyle w:val="Firstpagetablebold"/>
                <w:b w:val="0"/>
              </w:rPr>
              <w:t>To continue with a Band</w:t>
            </w:r>
            <w:r>
              <w:rPr>
                <w:rStyle w:val="Firstpagetablebold"/>
                <w:b w:val="0"/>
              </w:rPr>
              <w:t>ed S</w:t>
            </w:r>
            <w:r w:rsidRPr="00196859">
              <w:rPr>
                <w:rStyle w:val="Firstpagetablebold"/>
                <w:b w:val="0"/>
              </w:rPr>
              <w:t>cheme based on Income</w:t>
            </w:r>
            <w:r w:rsidR="00463DD7">
              <w:rPr>
                <w:rStyle w:val="Firstpagetablebold"/>
                <w:b w:val="0"/>
              </w:rPr>
              <w:t xml:space="preserve"> rather than family composition;</w:t>
            </w:r>
          </w:p>
          <w:p w14:paraId="310455C4" w14:textId="15CC69B6" w:rsidR="00196859" w:rsidRPr="00196859" w:rsidRDefault="00196859" w:rsidP="00196859">
            <w:pPr>
              <w:pStyle w:val="ListParagraph"/>
              <w:numPr>
                <w:ilvl w:val="0"/>
                <w:numId w:val="42"/>
              </w:numPr>
              <w:rPr>
                <w:rStyle w:val="Firstpagetablebold"/>
                <w:b w:val="0"/>
              </w:rPr>
            </w:pPr>
            <w:r w:rsidRPr="00196859">
              <w:rPr>
                <w:rStyle w:val="Firstpagetablebold"/>
                <w:b w:val="0"/>
              </w:rPr>
              <w:t>To leave non dependant deductions as they are currently</w:t>
            </w:r>
            <w:r w:rsidR="00463DD7">
              <w:rPr>
                <w:rStyle w:val="Firstpagetablebold"/>
                <w:b w:val="0"/>
              </w:rPr>
              <w:t>.</w:t>
            </w:r>
          </w:p>
          <w:p w14:paraId="0E5B0810" w14:textId="77777777" w:rsidR="0030208D" w:rsidRPr="00196859" w:rsidRDefault="00544856" w:rsidP="00196859">
            <w:pPr>
              <w:rPr>
                <w:b/>
              </w:rPr>
            </w:pPr>
            <w:r w:rsidRPr="00196859">
              <w:rPr>
                <w:rStyle w:val="Firstpagetablebold"/>
                <w:b w:val="0"/>
              </w:rPr>
              <w:t xml:space="preserve">  </w:t>
            </w:r>
          </w:p>
        </w:tc>
      </w:tr>
      <w:tr w:rsidR="00232F5B" w:rsidRPr="00E8171A" w14:paraId="1845161F" w14:textId="77777777" w:rsidTr="00A46E98">
        <w:trPr>
          <w:trHeight w:val="283"/>
        </w:trPr>
        <w:tc>
          <w:tcPr>
            <w:tcW w:w="426" w:type="dxa"/>
            <w:tcBorders>
              <w:top w:val="nil"/>
              <w:left w:val="single" w:sz="8" w:space="0" w:color="000000"/>
              <w:bottom w:val="single" w:sz="8" w:space="0" w:color="000000"/>
              <w:right w:val="nil"/>
            </w:tcBorders>
          </w:tcPr>
          <w:p w14:paraId="20C7D8C1" w14:textId="77777777" w:rsidR="0030208D" w:rsidRPr="00E8171A" w:rsidRDefault="0030208D" w:rsidP="004A6D2F">
            <w:pPr>
              <w:rPr>
                <w:highlight w:val="yellow"/>
              </w:rPr>
            </w:pPr>
          </w:p>
        </w:tc>
        <w:tc>
          <w:tcPr>
            <w:tcW w:w="8419" w:type="dxa"/>
            <w:gridSpan w:val="2"/>
            <w:tcBorders>
              <w:top w:val="nil"/>
              <w:left w:val="nil"/>
              <w:bottom w:val="single" w:sz="8" w:space="0" w:color="000000"/>
              <w:right w:val="single" w:sz="8" w:space="0" w:color="000000"/>
            </w:tcBorders>
            <w:shd w:val="clear" w:color="auto" w:fill="auto"/>
          </w:tcPr>
          <w:p w14:paraId="2DD32527" w14:textId="77777777" w:rsidR="0030208D" w:rsidRPr="00E8171A" w:rsidRDefault="0030208D" w:rsidP="00247C29">
            <w:pPr>
              <w:rPr>
                <w:highlight w:val="yellow"/>
              </w:rPr>
            </w:pPr>
          </w:p>
        </w:tc>
      </w:tr>
    </w:tbl>
    <w:p w14:paraId="2D6E6BA5" w14:textId="2B95E270" w:rsidR="009B677A" w:rsidRDefault="009B677A" w:rsidP="004A6D2F">
      <w:pPr>
        <w:rPr>
          <w:highlight w:val="yellow"/>
        </w:rPr>
      </w:pPr>
    </w:p>
    <w:p w14:paraId="301CB8A2" w14:textId="77777777" w:rsidR="009B677A" w:rsidRDefault="009B677A">
      <w:pPr>
        <w:rPr>
          <w:highlight w:val="yellow"/>
        </w:rPr>
      </w:pPr>
      <w:r>
        <w:rPr>
          <w:highlight w:val="yellow"/>
        </w:rPr>
        <w:br w:type="page"/>
      </w:r>
    </w:p>
    <w:p w14:paraId="4A90AEFC" w14:textId="77777777" w:rsidR="00CE544A" w:rsidRPr="00E8171A" w:rsidRDefault="00CE544A"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166"/>
      </w:tblGrid>
      <w:tr w:rsidR="00966D42" w:rsidRPr="00E8171A" w14:paraId="0E4097C4" w14:textId="77777777" w:rsidTr="008A4A35">
        <w:trPr>
          <w:trHeight w:val="63"/>
        </w:trPr>
        <w:tc>
          <w:tcPr>
            <w:tcW w:w="8513" w:type="dxa"/>
            <w:gridSpan w:val="2"/>
            <w:tcBorders>
              <w:top w:val="single" w:sz="8" w:space="0" w:color="000000"/>
              <w:left w:val="single" w:sz="8" w:space="0" w:color="000000"/>
              <w:bottom w:val="single" w:sz="8" w:space="0" w:color="000000"/>
              <w:right w:val="single" w:sz="8" w:space="0" w:color="000000"/>
            </w:tcBorders>
            <w:shd w:val="clear" w:color="auto" w:fill="auto"/>
          </w:tcPr>
          <w:p w14:paraId="00245E41" w14:textId="77777777" w:rsidR="00966D42" w:rsidRPr="00E8171A" w:rsidRDefault="00966D42" w:rsidP="00263EA3">
            <w:pPr>
              <w:jc w:val="center"/>
              <w:rPr>
                <w:highlight w:val="yellow"/>
              </w:rPr>
            </w:pPr>
            <w:r w:rsidRPr="00864925">
              <w:rPr>
                <w:rStyle w:val="Firstpagetablebold"/>
              </w:rPr>
              <w:t>Appendices</w:t>
            </w:r>
          </w:p>
        </w:tc>
      </w:tr>
      <w:tr w:rsidR="00ED5860" w:rsidRPr="00E8171A" w14:paraId="0651C0D0" w14:textId="77777777" w:rsidTr="008A4A35">
        <w:trPr>
          <w:trHeight w:val="61"/>
        </w:trPr>
        <w:tc>
          <w:tcPr>
            <w:tcW w:w="2347" w:type="dxa"/>
            <w:tcBorders>
              <w:top w:val="single" w:sz="8" w:space="0" w:color="000000"/>
              <w:left w:val="single" w:sz="8" w:space="0" w:color="000000"/>
              <w:bottom w:val="nil"/>
              <w:right w:val="nil"/>
            </w:tcBorders>
            <w:shd w:val="clear" w:color="auto" w:fill="auto"/>
          </w:tcPr>
          <w:p w14:paraId="5F0AFDDD" w14:textId="77777777" w:rsidR="00487B4A" w:rsidRPr="00196859" w:rsidRDefault="00487B4A" w:rsidP="004A6D2F"/>
          <w:p w14:paraId="43B9F051" w14:textId="77777777" w:rsidR="00ED5860" w:rsidRPr="00196859" w:rsidRDefault="00ED5860" w:rsidP="004A6D2F">
            <w:r w:rsidRPr="00196859">
              <w:t>Appendix 1</w:t>
            </w:r>
          </w:p>
        </w:tc>
        <w:tc>
          <w:tcPr>
            <w:tcW w:w="6166" w:type="dxa"/>
            <w:tcBorders>
              <w:top w:val="single" w:sz="8" w:space="0" w:color="000000"/>
              <w:left w:val="nil"/>
              <w:bottom w:val="nil"/>
              <w:right w:val="single" w:sz="8" w:space="0" w:color="000000"/>
            </w:tcBorders>
          </w:tcPr>
          <w:p w14:paraId="4F452818" w14:textId="77777777" w:rsidR="00487B4A" w:rsidRPr="00196859" w:rsidRDefault="00487B4A" w:rsidP="004A6D2F"/>
          <w:p w14:paraId="2B20044D" w14:textId="77777777" w:rsidR="00487B4A" w:rsidRPr="00196859" w:rsidRDefault="00BE1987" w:rsidP="004A6D2F">
            <w:r w:rsidRPr="00196859">
              <w:t>Response to consultation</w:t>
            </w:r>
          </w:p>
        </w:tc>
      </w:tr>
      <w:tr w:rsidR="00ED5860" w:rsidRPr="00E8171A" w14:paraId="7E5B4449" w14:textId="77777777" w:rsidTr="008A4A35">
        <w:trPr>
          <w:trHeight w:val="63"/>
        </w:trPr>
        <w:tc>
          <w:tcPr>
            <w:tcW w:w="2347" w:type="dxa"/>
            <w:tcBorders>
              <w:top w:val="nil"/>
              <w:left w:val="single" w:sz="8" w:space="0" w:color="000000"/>
              <w:bottom w:val="nil"/>
              <w:right w:val="nil"/>
            </w:tcBorders>
            <w:shd w:val="clear" w:color="auto" w:fill="auto"/>
          </w:tcPr>
          <w:p w14:paraId="095E9FF1" w14:textId="77777777" w:rsidR="00ED5860" w:rsidRPr="00196859" w:rsidRDefault="0030208D" w:rsidP="004A6D2F">
            <w:r w:rsidRPr="00196859">
              <w:t xml:space="preserve">Appendix </w:t>
            </w:r>
            <w:r w:rsidR="00487B4A" w:rsidRPr="00196859">
              <w:t>2</w:t>
            </w:r>
          </w:p>
          <w:p w14:paraId="0E2A92C2" w14:textId="77777777" w:rsidR="00487B4A" w:rsidRPr="00196859" w:rsidRDefault="00487B4A" w:rsidP="004A6D2F">
            <w:r w:rsidRPr="00196859">
              <w:t>Appendix 3</w:t>
            </w:r>
          </w:p>
        </w:tc>
        <w:tc>
          <w:tcPr>
            <w:tcW w:w="6166" w:type="dxa"/>
            <w:tcBorders>
              <w:top w:val="nil"/>
              <w:left w:val="nil"/>
              <w:bottom w:val="nil"/>
              <w:right w:val="single" w:sz="8" w:space="0" w:color="000000"/>
            </w:tcBorders>
          </w:tcPr>
          <w:p w14:paraId="124CC46B" w14:textId="77777777" w:rsidR="00ED5860" w:rsidRPr="00196859" w:rsidRDefault="00BE1987" w:rsidP="004A6D2F">
            <w:r w:rsidRPr="00196859">
              <w:t>Risk Register</w:t>
            </w:r>
          </w:p>
          <w:p w14:paraId="2617E93B" w14:textId="77777777" w:rsidR="00944A18" w:rsidRPr="00196859" w:rsidRDefault="00944A18" w:rsidP="004A6D2F">
            <w:r w:rsidRPr="00196859">
              <w:t>Equalities Impact Assessment</w:t>
            </w:r>
          </w:p>
        </w:tc>
      </w:tr>
      <w:tr w:rsidR="0030208D" w:rsidRPr="00E8171A" w14:paraId="75892A0B" w14:textId="77777777" w:rsidTr="008A4A35">
        <w:trPr>
          <w:trHeight w:val="61"/>
        </w:trPr>
        <w:tc>
          <w:tcPr>
            <w:tcW w:w="2347" w:type="dxa"/>
            <w:tcBorders>
              <w:top w:val="nil"/>
              <w:left w:val="single" w:sz="8" w:space="0" w:color="000000"/>
              <w:bottom w:val="nil"/>
              <w:right w:val="nil"/>
            </w:tcBorders>
            <w:shd w:val="clear" w:color="auto" w:fill="auto"/>
          </w:tcPr>
          <w:p w14:paraId="0E57AC25" w14:textId="77777777" w:rsidR="0030208D" w:rsidRPr="00196859" w:rsidRDefault="00F0394C" w:rsidP="004A6D2F">
            <w:r w:rsidRPr="00196859">
              <w:t>Appendix 4</w:t>
            </w:r>
          </w:p>
        </w:tc>
        <w:tc>
          <w:tcPr>
            <w:tcW w:w="6166" w:type="dxa"/>
            <w:tcBorders>
              <w:top w:val="nil"/>
              <w:left w:val="nil"/>
              <w:bottom w:val="nil"/>
              <w:right w:val="single" w:sz="8" w:space="0" w:color="000000"/>
            </w:tcBorders>
          </w:tcPr>
          <w:p w14:paraId="5473B239" w14:textId="77777777" w:rsidR="0030208D" w:rsidRPr="00196859" w:rsidRDefault="00F0394C" w:rsidP="004A6D2F">
            <w:r w:rsidRPr="00196859">
              <w:t>Glossary of Terms</w:t>
            </w:r>
          </w:p>
        </w:tc>
      </w:tr>
      <w:tr w:rsidR="0030208D" w:rsidRPr="00E8171A" w14:paraId="7D05BE9E" w14:textId="77777777" w:rsidTr="008A4A35">
        <w:trPr>
          <w:trHeight w:val="61"/>
        </w:trPr>
        <w:tc>
          <w:tcPr>
            <w:tcW w:w="2347" w:type="dxa"/>
            <w:tcBorders>
              <w:top w:val="nil"/>
              <w:left w:val="single" w:sz="8" w:space="0" w:color="000000"/>
              <w:bottom w:val="single" w:sz="8" w:space="0" w:color="000000"/>
              <w:right w:val="nil"/>
            </w:tcBorders>
            <w:shd w:val="clear" w:color="auto" w:fill="auto"/>
          </w:tcPr>
          <w:p w14:paraId="2A1ED312" w14:textId="77777777" w:rsidR="0030208D" w:rsidRPr="00E8171A" w:rsidRDefault="0030208D" w:rsidP="004A6D2F">
            <w:pPr>
              <w:rPr>
                <w:highlight w:val="yellow"/>
              </w:rPr>
            </w:pPr>
          </w:p>
        </w:tc>
        <w:tc>
          <w:tcPr>
            <w:tcW w:w="6166" w:type="dxa"/>
            <w:tcBorders>
              <w:top w:val="nil"/>
              <w:left w:val="nil"/>
              <w:bottom w:val="single" w:sz="8" w:space="0" w:color="000000"/>
              <w:right w:val="single" w:sz="8" w:space="0" w:color="000000"/>
            </w:tcBorders>
          </w:tcPr>
          <w:p w14:paraId="7B9422BE" w14:textId="77777777" w:rsidR="0030208D" w:rsidRPr="00E8171A" w:rsidRDefault="0030208D" w:rsidP="00BE1987">
            <w:pPr>
              <w:jc w:val="center"/>
              <w:rPr>
                <w:highlight w:val="yellow"/>
              </w:rPr>
            </w:pPr>
          </w:p>
        </w:tc>
      </w:tr>
    </w:tbl>
    <w:p w14:paraId="606EAD4E" w14:textId="77777777" w:rsidR="00185FA5" w:rsidRPr="00B358B2" w:rsidRDefault="00F66DCA" w:rsidP="00EE066A">
      <w:pPr>
        <w:pStyle w:val="Heading1"/>
        <w:rPr>
          <w:rFonts w:eastAsia="Calibri" w:cs="Arial"/>
          <w:color w:val="auto"/>
          <w:lang w:eastAsia="en-US"/>
        </w:rPr>
      </w:pPr>
      <w:r w:rsidRPr="00B358B2">
        <w:rPr>
          <w:rFonts w:cs="Arial"/>
        </w:rPr>
        <w:t>Introduction and b</w:t>
      </w:r>
      <w:r w:rsidR="00151888" w:rsidRPr="00B358B2">
        <w:rPr>
          <w:rFonts w:cs="Arial"/>
        </w:rPr>
        <w:t>ackground</w:t>
      </w:r>
      <w:r w:rsidR="00404032" w:rsidRPr="00B358B2">
        <w:rPr>
          <w:rFonts w:cs="Arial"/>
        </w:rPr>
        <w:t xml:space="preserve"> </w:t>
      </w:r>
    </w:p>
    <w:p w14:paraId="10FB778F" w14:textId="77777777" w:rsidR="00185FA5" w:rsidRPr="00B358B2" w:rsidRDefault="00185FA5" w:rsidP="0085194F">
      <w:pPr>
        <w:pStyle w:val="ListParagraph"/>
        <w:numPr>
          <w:ilvl w:val="0"/>
          <w:numId w:val="6"/>
        </w:numPr>
        <w:spacing w:after="0"/>
        <w:rPr>
          <w:rFonts w:eastAsia="Calibri" w:cs="Arial"/>
          <w:color w:val="auto"/>
          <w:lang w:eastAsia="en-US"/>
        </w:rPr>
      </w:pPr>
      <w:r w:rsidRPr="00B358B2">
        <w:rPr>
          <w:rFonts w:eastAsia="Calibri" w:cs="Arial"/>
          <w:color w:val="auto"/>
          <w:lang w:eastAsia="en-US"/>
        </w:rPr>
        <w:t>Councils are required to review their C</w:t>
      </w:r>
      <w:r w:rsidR="008A4A35" w:rsidRPr="00B358B2">
        <w:rPr>
          <w:rFonts w:eastAsia="Calibri" w:cs="Arial"/>
          <w:color w:val="auto"/>
          <w:lang w:eastAsia="en-US"/>
        </w:rPr>
        <w:t xml:space="preserve">ouncil </w:t>
      </w:r>
      <w:r w:rsidRPr="00B358B2">
        <w:rPr>
          <w:rFonts w:eastAsia="Calibri" w:cs="Arial"/>
          <w:color w:val="auto"/>
          <w:lang w:eastAsia="en-US"/>
        </w:rPr>
        <w:t>T</w:t>
      </w:r>
      <w:r w:rsidR="008A4A35" w:rsidRPr="00B358B2">
        <w:rPr>
          <w:rFonts w:eastAsia="Calibri" w:cs="Arial"/>
          <w:color w:val="auto"/>
          <w:lang w:eastAsia="en-US"/>
        </w:rPr>
        <w:t xml:space="preserve">ax </w:t>
      </w:r>
      <w:r w:rsidRPr="00B358B2">
        <w:rPr>
          <w:rFonts w:eastAsia="Calibri" w:cs="Arial"/>
          <w:color w:val="auto"/>
          <w:lang w:eastAsia="en-US"/>
        </w:rPr>
        <w:t>R</w:t>
      </w:r>
      <w:r w:rsidR="008A4A35" w:rsidRPr="00B358B2">
        <w:rPr>
          <w:rFonts w:eastAsia="Calibri" w:cs="Arial"/>
          <w:color w:val="auto"/>
          <w:lang w:eastAsia="en-US"/>
        </w:rPr>
        <w:t>eduction</w:t>
      </w:r>
      <w:r w:rsidRPr="00B358B2">
        <w:rPr>
          <w:rFonts w:eastAsia="Calibri" w:cs="Arial"/>
          <w:color w:val="auto"/>
          <w:lang w:eastAsia="en-US"/>
        </w:rPr>
        <w:t xml:space="preserve"> </w:t>
      </w:r>
      <w:r w:rsidR="00296BD9" w:rsidRPr="00B358B2">
        <w:rPr>
          <w:rFonts w:eastAsia="Calibri" w:cs="Arial"/>
          <w:color w:val="auto"/>
          <w:lang w:eastAsia="en-US"/>
        </w:rPr>
        <w:t xml:space="preserve">(CTR) </w:t>
      </w:r>
      <w:r w:rsidR="00017F92" w:rsidRPr="00B358B2">
        <w:rPr>
          <w:rFonts w:eastAsia="Calibri" w:cs="Arial"/>
          <w:color w:val="auto"/>
          <w:lang w:eastAsia="en-US"/>
        </w:rPr>
        <w:t>S</w:t>
      </w:r>
      <w:r w:rsidRPr="00B358B2">
        <w:rPr>
          <w:rFonts w:eastAsia="Calibri" w:cs="Arial"/>
          <w:color w:val="auto"/>
          <w:lang w:eastAsia="en-US"/>
        </w:rPr>
        <w:t xml:space="preserve">cheme </w:t>
      </w:r>
      <w:r w:rsidR="008A4A35" w:rsidRPr="00B358B2">
        <w:rPr>
          <w:rFonts w:eastAsia="Calibri" w:cs="Arial"/>
          <w:color w:val="auto"/>
          <w:lang w:eastAsia="en-US"/>
        </w:rPr>
        <w:t xml:space="preserve">for working age recipients </w:t>
      </w:r>
      <w:r w:rsidRPr="00B358B2">
        <w:rPr>
          <w:rFonts w:eastAsia="Calibri" w:cs="Arial"/>
          <w:color w:val="auto"/>
          <w:lang w:eastAsia="en-US"/>
        </w:rPr>
        <w:t xml:space="preserve">on an annual basis and </w:t>
      </w:r>
      <w:r w:rsidR="00FC5B3A">
        <w:rPr>
          <w:rFonts w:eastAsia="Calibri" w:cs="Arial"/>
          <w:color w:val="auto"/>
          <w:lang w:eastAsia="en-US"/>
        </w:rPr>
        <w:t>consider any appropriate revisions</w:t>
      </w:r>
      <w:r w:rsidRPr="00B358B2">
        <w:rPr>
          <w:rFonts w:eastAsia="Calibri" w:cs="Arial"/>
          <w:color w:val="auto"/>
          <w:lang w:eastAsia="en-US"/>
        </w:rPr>
        <w:t xml:space="preserve">. </w:t>
      </w:r>
      <w:r w:rsidR="008A4A35" w:rsidRPr="00B358B2">
        <w:rPr>
          <w:rFonts w:eastAsia="Calibri" w:cs="Arial"/>
          <w:color w:val="auto"/>
          <w:lang w:eastAsia="en-US"/>
        </w:rPr>
        <w:t>The scheme that exists for pension age recipients is a national scheme prescribed by regulations and cannot be varied locally.</w:t>
      </w:r>
    </w:p>
    <w:p w14:paraId="1A2663D8" w14:textId="77777777" w:rsidR="008A4A35" w:rsidRPr="00B358B2" w:rsidRDefault="008A4A35" w:rsidP="008A4A35">
      <w:pPr>
        <w:pStyle w:val="ListParagraph"/>
        <w:numPr>
          <w:ilvl w:val="0"/>
          <w:numId w:val="0"/>
        </w:numPr>
        <w:spacing w:after="0"/>
        <w:ind w:left="720"/>
        <w:rPr>
          <w:rFonts w:eastAsia="Calibri" w:cs="Arial"/>
          <w:color w:val="auto"/>
          <w:lang w:eastAsia="en-US"/>
        </w:rPr>
      </w:pPr>
    </w:p>
    <w:p w14:paraId="4DD12677" w14:textId="77777777" w:rsidR="00185FA5" w:rsidRPr="00B358B2" w:rsidRDefault="00185FA5" w:rsidP="0085194F">
      <w:pPr>
        <w:numPr>
          <w:ilvl w:val="0"/>
          <w:numId w:val="6"/>
        </w:numPr>
        <w:tabs>
          <w:tab w:val="left" w:pos="426"/>
        </w:tabs>
        <w:spacing w:after="0"/>
        <w:rPr>
          <w:rFonts w:eastAsia="Calibri" w:cs="Arial"/>
          <w:color w:val="auto"/>
          <w:lang w:eastAsia="en-US"/>
        </w:rPr>
      </w:pPr>
      <w:r w:rsidRPr="00B358B2">
        <w:rPr>
          <w:rFonts w:eastAsia="Calibri" w:cs="Arial"/>
          <w:color w:val="auto"/>
          <w:lang w:eastAsia="en-US"/>
        </w:rPr>
        <w:t>In order to change its scheme a council is required by law to:</w:t>
      </w:r>
    </w:p>
    <w:p w14:paraId="6BBD8AA1" w14:textId="77777777" w:rsidR="00185FA5" w:rsidRPr="00B358B2" w:rsidRDefault="00185FA5" w:rsidP="0085194F">
      <w:pPr>
        <w:numPr>
          <w:ilvl w:val="0"/>
          <w:numId w:val="8"/>
        </w:numPr>
        <w:tabs>
          <w:tab w:val="left" w:pos="426"/>
        </w:tabs>
        <w:spacing w:after="0"/>
        <w:rPr>
          <w:rFonts w:eastAsia="Calibri" w:cs="Arial"/>
          <w:color w:val="auto"/>
          <w:lang w:eastAsia="en-US"/>
        </w:rPr>
      </w:pPr>
      <w:r w:rsidRPr="00B358B2">
        <w:rPr>
          <w:rFonts w:eastAsia="Calibri" w:cs="Arial"/>
          <w:color w:val="auto"/>
          <w:lang w:eastAsia="en-US"/>
        </w:rPr>
        <w:t>Consult with the major precepting authorities</w:t>
      </w:r>
    </w:p>
    <w:p w14:paraId="617C35CD" w14:textId="5E002316" w:rsidR="00185FA5" w:rsidRPr="00B358B2" w:rsidRDefault="00185FA5" w:rsidP="0085194F">
      <w:pPr>
        <w:numPr>
          <w:ilvl w:val="0"/>
          <w:numId w:val="8"/>
        </w:numPr>
        <w:tabs>
          <w:tab w:val="left" w:pos="426"/>
        </w:tabs>
        <w:spacing w:after="0"/>
        <w:rPr>
          <w:rFonts w:eastAsia="Calibri" w:cs="Arial"/>
          <w:color w:val="auto"/>
          <w:lang w:eastAsia="en-US"/>
        </w:rPr>
      </w:pPr>
      <w:r w:rsidRPr="00B358B2">
        <w:rPr>
          <w:rFonts w:eastAsia="Calibri" w:cs="Arial"/>
          <w:color w:val="auto"/>
          <w:lang w:eastAsia="en-US"/>
        </w:rPr>
        <w:t>Consult with other persons it considers are likely to have an interest in the operation of the scheme</w:t>
      </w:r>
      <w:r w:rsidR="00463DD7">
        <w:rPr>
          <w:rFonts w:eastAsia="Calibri" w:cs="Arial"/>
          <w:color w:val="auto"/>
          <w:lang w:eastAsia="en-US"/>
        </w:rPr>
        <w:t>.</w:t>
      </w:r>
    </w:p>
    <w:p w14:paraId="7528E84A" w14:textId="77777777" w:rsidR="007635D4" w:rsidRPr="00B358B2" w:rsidRDefault="007635D4" w:rsidP="002200E7">
      <w:pPr>
        <w:tabs>
          <w:tab w:val="left" w:pos="426"/>
        </w:tabs>
        <w:spacing w:after="0"/>
        <w:ind w:left="720"/>
        <w:rPr>
          <w:rFonts w:eastAsia="Calibri" w:cs="Arial"/>
          <w:color w:val="auto"/>
          <w:lang w:eastAsia="en-US"/>
        </w:rPr>
      </w:pPr>
    </w:p>
    <w:p w14:paraId="3D645186" w14:textId="77777777" w:rsidR="00185FA5" w:rsidRPr="00B358B2" w:rsidRDefault="00296BD9" w:rsidP="002200E7">
      <w:pPr>
        <w:tabs>
          <w:tab w:val="left" w:pos="426"/>
        </w:tabs>
        <w:spacing w:after="0"/>
        <w:ind w:left="720"/>
        <w:rPr>
          <w:rFonts w:eastAsia="Calibri" w:cs="Arial"/>
          <w:color w:val="auto"/>
          <w:lang w:eastAsia="en-US"/>
        </w:rPr>
      </w:pPr>
      <w:r w:rsidRPr="00B358B2">
        <w:rPr>
          <w:rFonts w:eastAsia="Calibri" w:cs="Arial"/>
          <w:color w:val="auto"/>
          <w:lang w:eastAsia="en-US"/>
        </w:rPr>
        <w:t>The CTR</w:t>
      </w:r>
      <w:r w:rsidR="00185FA5" w:rsidRPr="00B358B2">
        <w:rPr>
          <w:rFonts w:eastAsia="Calibri" w:cs="Arial"/>
          <w:color w:val="auto"/>
          <w:lang w:eastAsia="en-US"/>
        </w:rPr>
        <w:t xml:space="preserve"> Scheme itself must be adopted by </w:t>
      </w:r>
      <w:r w:rsidR="005F7905" w:rsidRPr="00B358B2">
        <w:rPr>
          <w:rFonts w:eastAsia="Calibri" w:cs="Arial"/>
          <w:color w:val="auto"/>
          <w:lang w:eastAsia="en-US"/>
        </w:rPr>
        <w:t>f</w:t>
      </w:r>
      <w:r w:rsidR="00185FA5" w:rsidRPr="00B358B2">
        <w:rPr>
          <w:rFonts w:eastAsia="Calibri" w:cs="Arial"/>
          <w:color w:val="auto"/>
          <w:lang w:eastAsia="en-US"/>
        </w:rPr>
        <w:t xml:space="preserve">ull Council, </w:t>
      </w:r>
      <w:r w:rsidR="009D780B" w:rsidRPr="00B358B2">
        <w:rPr>
          <w:rFonts w:eastAsia="Calibri" w:cs="Arial"/>
          <w:color w:val="auto"/>
          <w:lang w:eastAsia="en-US"/>
        </w:rPr>
        <w:t>it</w:t>
      </w:r>
      <w:r w:rsidR="00185FA5" w:rsidRPr="00B358B2">
        <w:rPr>
          <w:rFonts w:eastAsia="Calibri" w:cs="Arial"/>
          <w:color w:val="auto"/>
          <w:lang w:eastAsia="en-US"/>
        </w:rPr>
        <w:t xml:space="preserve"> cannot be delegated to an </w:t>
      </w:r>
      <w:r w:rsidR="005F7905" w:rsidRPr="00B358B2">
        <w:rPr>
          <w:rFonts w:eastAsia="Calibri" w:cs="Arial"/>
          <w:color w:val="auto"/>
          <w:lang w:eastAsia="en-US"/>
        </w:rPr>
        <w:t>o</w:t>
      </w:r>
      <w:r w:rsidR="00185FA5" w:rsidRPr="00B358B2">
        <w:rPr>
          <w:rFonts w:eastAsia="Calibri" w:cs="Arial"/>
          <w:color w:val="auto"/>
          <w:lang w:eastAsia="en-US"/>
        </w:rPr>
        <w:t xml:space="preserve">fficer or </w:t>
      </w:r>
      <w:r w:rsidR="005F7905" w:rsidRPr="00B358B2">
        <w:rPr>
          <w:rFonts w:eastAsia="Calibri" w:cs="Arial"/>
          <w:color w:val="auto"/>
          <w:lang w:eastAsia="en-US"/>
        </w:rPr>
        <w:t>c</w:t>
      </w:r>
      <w:r w:rsidR="00185FA5" w:rsidRPr="00B358B2">
        <w:rPr>
          <w:rFonts w:eastAsia="Calibri" w:cs="Arial"/>
          <w:color w:val="auto"/>
          <w:lang w:eastAsia="en-US"/>
        </w:rPr>
        <w:t>ommittee.</w:t>
      </w:r>
    </w:p>
    <w:p w14:paraId="4C985839" w14:textId="77777777" w:rsidR="00185FA5" w:rsidRPr="00B358B2" w:rsidRDefault="00185FA5" w:rsidP="00185FA5">
      <w:pPr>
        <w:spacing w:after="0"/>
        <w:rPr>
          <w:rFonts w:eastAsia="Calibri" w:cs="Arial"/>
          <w:color w:val="auto"/>
          <w:lang w:eastAsia="en-US"/>
        </w:rPr>
      </w:pPr>
    </w:p>
    <w:p w14:paraId="0B7D54AF" w14:textId="77777777" w:rsidR="00185FA5" w:rsidRPr="00B358B2" w:rsidRDefault="00185FA5" w:rsidP="0085194F">
      <w:pPr>
        <w:numPr>
          <w:ilvl w:val="0"/>
          <w:numId w:val="6"/>
        </w:numPr>
        <w:tabs>
          <w:tab w:val="left" w:pos="426"/>
        </w:tabs>
        <w:spacing w:after="0"/>
        <w:rPr>
          <w:rFonts w:eastAsia="Calibri" w:cs="Arial"/>
          <w:color w:val="auto"/>
          <w:lang w:eastAsia="en-US"/>
        </w:rPr>
      </w:pPr>
      <w:r w:rsidRPr="00B358B2">
        <w:rPr>
          <w:rFonts w:eastAsia="Calibri" w:cs="Arial"/>
          <w:color w:val="auto"/>
          <w:lang w:eastAsia="en-US"/>
        </w:rPr>
        <w:t>Local Schemes must take account of and support:</w:t>
      </w:r>
    </w:p>
    <w:p w14:paraId="6226661C" w14:textId="77777777" w:rsidR="00185FA5" w:rsidRPr="00B358B2" w:rsidRDefault="00185FA5" w:rsidP="0085194F">
      <w:pPr>
        <w:numPr>
          <w:ilvl w:val="0"/>
          <w:numId w:val="7"/>
        </w:numPr>
        <w:tabs>
          <w:tab w:val="left" w:pos="426"/>
        </w:tabs>
        <w:spacing w:after="0" w:line="276" w:lineRule="auto"/>
        <w:rPr>
          <w:rFonts w:eastAsia="Calibri" w:cs="Arial"/>
          <w:color w:val="auto"/>
          <w:lang w:eastAsia="en-US"/>
        </w:rPr>
      </w:pPr>
      <w:r w:rsidRPr="00B358B2">
        <w:rPr>
          <w:rFonts w:eastAsia="Calibri" w:cs="Arial"/>
          <w:color w:val="auto"/>
          <w:lang w:eastAsia="en-US"/>
        </w:rPr>
        <w:t>Work incentives and in particular avoid disincentives for those moving into work</w:t>
      </w:r>
    </w:p>
    <w:p w14:paraId="76282446" w14:textId="77777777" w:rsidR="00185FA5" w:rsidRPr="00B358B2" w:rsidRDefault="002200E7" w:rsidP="0085194F">
      <w:pPr>
        <w:numPr>
          <w:ilvl w:val="0"/>
          <w:numId w:val="7"/>
        </w:numPr>
        <w:tabs>
          <w:tab w:val="left" w:pos="426"/>
        </w:tabs>
        <w:spacing w:after="0" w:line="276" w:lineRule="auto"/>
        <w:rPr>
          <w:rFonts w:eastAsia="Calibri" w:cs="Arial"/>
          <w:color w:val="auto"/>
          <w:lang w:eastAsia="en-US"/>
        </w:rPr>
      </w:pPr>
      <w:r w:rsidRPr="00B358B2">
        <w:rPr>
          <w:rFonts w:eastAsia="Calibri" w:cs="Arial"/>
          <w:color w:val="auto"/>
          <w:lang w:eastAsia="en-US"/>
        </w:rPr>
        <w:t>T</w:t>
      </w:r>
      <w:r w:rsidR="00185FA5" w:rsidRPr="00B358B2">
        <w:rPr>
          <w:rFonts w:eastAsia="Calibri" w:cs="Arial"/>
          <w:color w:val="auto"/>
          <w:lang w:eastAsia="en-US"/>
        </w:rPr>
        <w:t xml:space="preserve">he Council’s duties to protect vulnerable people (under the Equality Act 2010, </w:t>
      </w:r>
      <w:r w:rsidR="005F7905" w:rsidRPr="00B358B2">
        <w:rPr>
          <w:rFonts w:eastAsia="Calibri" w:cs="Arial"/>
          <w:color w:val="auto"/>
          <w:lang w:eastAsia="en-US"/>
        </w:rPr>
        <w:t>t</w:t>
      </w:r>
      <w:r w:rsidR="00185FA5" w:rsidRPr="00B358B2">
        <w:rPr>
          <w:rFonts w:eastAsia="Calibri" w:cs="Arial"/>
          <w:color w:val="auto"/>
          <w:lang w:eastAsia="en-US"/>
        </w:rPr>
        <w:t xml:space="preserve">he Care Act 2014, </w:t>
      </w:r>
      <w:r w:rsidR="005F7905" w:rsidRPr="00B358B2">
        <w:rPr>
          <w:rFonts w:eastAsia="Calibri" w:cs="Arial"/>
          <w:color w:val="auto"/>
          <w:lang w:eastAsia="en-US"/>
        </w:rPr>
        <w:t xml:space="preserve">the </w:t>
      </w:r>
      <w:r w:rsidR="00185FA5" w:rsidRPr="00B358B2">
        <w:rPr>
          <w:rFonts w:eastAsia="Calibri" w:cs="Arial"/>
          <w:color w:val="auto"/>
          <w:lang w:eastAsia="en-US"/>
        </w:rPr>
        <w:t>Child Poverty Act 2010</w:t>
      </w:r>
      <w:r w:rsidR="005F7905" w:rsidRPr="00B358B2">
        <w:rPr>
          <w:rFonts w:eastAsia="Calibri" w:cs="Arial"/>
          <w:color w:val="auto"/>
          <w:lang w:eastAsia="en-US"/>
        </w:rPr>
        <w:t xml:space="preserve"> and </w:t>
      </w:r>
      <w:r w:rsidR="00185FA5" w:rsidRPr="00B358B2">
        <w:rPr>
          <w:rFonts w:eastAsia="Calibri" w:cs="Arial"/>
          <w:color w:val="auto"/>
          <w:lang w:eastAsia="en-US"/>
        </w:rPr>
        <w:t xml:space="preserve"> </w:t>
      </w:r>
      <w:r w:rsidR="005F7905" w:rsidRPr="00B358B2">
        <w:rPr>
          <w:rFonts w:eastAsia="Calibri" w:cs="Arial"/>
          <w:color w:val="auto"/>
          <w:lang w:eastAsia="en-US"/>
        </w:rPr>
        <w:t>t</w:t>
      </w:r>
      <w:r w:rsidR="00185FA5" w:rsidRPr="00B358B2">
        <w:rPr>
          <w:rFonts w:eastAsia="Calibri" w:cs="Arial"/>
          <w:color w:val="auto"/>
          <w:lang w:eastAsia="en-US"/>
        </w:rPr>
        <w:t>he Housing Act 1996)</w:t>
      </w:r>
    </w:p>
    <w:p w14:paraId="7D04850A" w14:textId="464EF722" w:rsidR="00185FA5" w:rsidRPr="00B358B2" w:rsidRDefault="00185FA5" w:rsidP="0085194F">
      <w:pPr>
        <w:numPr>
          <w:ilvl w:val="0"/>
          <w:numId w:val="7"/>
        </w:numPr>
        <w:tabs>
          <w:tab w:val="left" w:pos="426"/>
        </w:tabs>
        <w:spacing w:after="0" w:line="276" w:lineRule="auto"/>
        <w:rPr>
          <w:rFonts w:eastAsia="Calibri" w:cs="Arial"/>
          <w:color w:val="auto"/>
          <w:lang w:eastAsia="en-US"/>
        </w:rPr>
      </w:pPr>
      <w:r w:rsidRPr="00B358B2">
        <w:rPr>
          <w:rFonts w:eastAsia="Calibri" w:cs="Arial"/>
          <w:color w:val="auto"/>
          <w:lang w:eastAsia="en-US"/>
        </w:rPr>
        <w:t>The Armed Forces Covenant</w:t>
      </w:r>
      <w:r w:rsidR="00463DD7">
        <w:rPr>
          <w:rFonts w:eastAsia="Calibri" w:cs="Arial"/>
          <w:color w:val="auto"/>
          <w:lang w:eastAsia="en-US"/>
        </w:rPr>
        <w:t>.</w:t>
      </w:r>
    </w:p>
    <w:p w14:paraId="3170DB54" w14:textId="77777777" w:rsidR="00A60E40" w:rsidRPr="00B358B2" w:rsidRDefault="00A60E40" w:rsidP="00A60E40">
      <w:pPr>
        <w:tabs>
          <w:tab w:val="left" w:pos="426"/>
        </w:tabs>
        <w:spacing w:after="0" w:line="276" w:lineRule="auto"/>
        <w:rPr>
          <w:rFonts w:eastAsia="Calibri" w:cs="Arial"/>
          <w:color w:val="auto"/>
          <w:lang w:eastAsia="en-US"/>
        </w:rPr>
      </w:pPr>
    </w:p>
    <w:p w14:paraId="519AE162" w14:textId="77777777" w:rsidR="00185FA5" w:rsidRPr="00B358B2" w:rsidRDefault="00A60E40" w:rsidP="00EE066A">
      <w:pPr>
        <w:tabs>
          <w:tab w:val="left" w:pos="426"/>
        </w:tabs>
        <w:spacing w:after="0" w:line="276" w:lineRule="auto"/>
        <w:rPr>
          <w:rFonts w:eastAsia="Calibri" w:cs="Arial"/>
          <w:color w:val="auto"/>
          <w:lang w:eastAsia="en-US"/>
        </w:rPr>
      </w:pPr>
      <w:r w:rsidRPr="00B358B2">
        <w:rPr>
          <w:rFonts w:eastAsia="Calibri" w:cs="Arial"/>
          <w:b/>
          <w:color w:val="auto"/>
          <w:lang w:eastAsia="en-US"/>
        </w:rPr>
        <w:t>Proposed changes to scheme</w:t>
      </w:r>
    </w:p>
    <w:p w14:paraId="3DC54B76" w14:textId="77777777" w:rsidR="00896E27" w:rsidRPr="00B358B2" w:rsidRDefault="00896E27" w:rsidP="0092468D">
      <w:pPr>
        <w:spacing w:after="0"/>
        <w:ind w:left="1440"/>
        <w:rPr>
          <w:rFonts w:eastAsia="Calibri" w:cs="Arial"/>
          <w:color w:val="auto"/>
          <w:lang w:eastAsia="en-US"/>
        </w:rPr>
      </w:pPr>
    </w:p>
    <w:p w14:paraId="54ECC60F" w14:textId="668C1DE3" w:rsidR="00DC59F9" w:rsidRPr="00B358B2" w:rsidRDefault="00463DD7" w:rsidP="00392B17">
      <w:pPr>
        <w:pStyle w:val="ListParagraph"/>
        <w:numPr>
          <w:ilvl w:val="0"/>
          <w:numId w:val="6"/>
        </w:numPr>
        <w:spacing w:after="0"/>
        <w:rPr>
          <w:rFonts w:eastAsia="Calibri" w:cs="Arial"/>
          <w:color w:val="auto"/>
          <w:lang w:eastAsia="en-US"/>
        </w:rPr>
      </w:pPr>
      <w:r>
        <w:rPr>
          <w:rFonts w:eastAsia="Calibri" w:cs="Arial"/>
          <w:color w:val="auto"/>
          <w:lang w:eastAsia="en-US"/>
        </w:rPr>
        <w:t xml:space="preserve">At its meeting on </w:t>
      </w:r>
      <w:r w:rsidR="001E0DEA" w:rsidRPr="00B358B2">
        <w:rPr>
          <w:rFonts w:eastAsia="Calibri" w:cs="Arial"/>
          <w:color w:val="auto"/>
          <w:lang w:eastAsia="en-US"/>
        </w:rPr>
        <w:t>15</w:t>
      </w:r>
      <w:r w:rsidR="009D780B" w:rsidRPr="00B358B2">
        <w:rPr>
          <w:rFonts w:eastAsia="Calibri" w:cs="Arial"/>
          <w:color w:val="auto"/>
          <w:lang w:eastAsia="en-US"/>
        </w:rPr>
        <w:t xml:space="preserve"> </w:t>
      </w:r>
      <w:r w:rsidR="001E0DEA" w:rsidRPr="00B358B2">
        <w:rPr>
          <w:rFonts w:eastAsia="Calibri" w:cs="Arial"/>
          <w:color w:val="auto"/>
          <w:lang w:eastAsia="en-US"/>
        </w:rPr>
        <w:t>September 2021</w:t>
      </w:r>
      <w:r w:rsidR="00AA496A" w:rsidRPr="00B358B2">
        <w:rPr>
          <w:rFonts w:eastAsia="Calibri" w:cs="Arial"/>
          <w:color w:val="auto"/>
          <w:lang w:eastAsia="en-US"/>
        </w:rPr>
        <w:t>, Cabinet</w:t>
      </w:r>
      <w:r w:rsidR="009D780B" w:rsidRPr="00B358B2">
        <w:rPr>
          <w:rFonts w:eastAsia="Calibri" w:cs="Arial"/>
          <w:color w:val="auto"/>
          <w:lang w:eastAsia="en-US"/>
        </w:rPr>
        <w:t xml:space="preserve"> agreed to cons</w:t>
      </w:r>
      <w:r w:rsidR="004B3B39" w:rsidRPr="00B358B2">
        <w:rPr>
          <w:rFonts w:eastAsia="Calibri" w:cs="Arial"/>
          <w:color w:val="auto"/>
          <w:lang w:eastAsia="en-US"/>
        </w:rPr>
        <w:t>ult on a new CTR Scheme for 202</w:t>
      </w:r>
      <w:r w:rsidR="00A577A9">
        <w:rPr>
          <w:rFonts w:eastAsia="Calibri" w:cs="Arial"/>
          <w:color w:val="auto"/>
          <w:lang w:eastAsia="en-US"/>
        </w:rPr>
        <w:t>2</w:t>
      </w:r>
      <w:r w:rsidR="004B3B39" w:rsidRPr="00B358B2">
        <w:rPr>
          <w:rFonts w:eastAsia="Calibri" w:cs="Arial"/>
          <w:color w:val="auto"/>
          <w:lang w:eastAsia="en-US"/>
        </w:rPr>
        <w:t>/2</w:t>
      </w:r>
      <w:r w:rsidR="00A577A9">
        <w:rPr>
          <w:rFonts w:eastAsia="Calibri" w:cs="Arial"/>
          <w:color w:val="auto"/>
          <w:lang w:eastAsia="en-US"/>
        </w:rPr>
        <w:t>3</w:t>
      </w:r>
      <w:r w:rsidR="009D780B" w:rsidRPr="00B358B2">
        <w:rPr>
          <w:rFonts w:eastAsia="Calibri" w:cs="Arial"/>
          <w:color w:val="auto"/>
          <w:lang w:eastAsia="en-US"/>
        </w:rPr>
        <w:t xml:space="preserve">. </w:t>
      </w:r>
      <w:r w:rsidR="00185FA5" w:rsidRPr="00B358B2">
        <w:rPr>
          <w:rFonts w:eastAsia="Calibri" w:cs="Arial"/>
          <w:color w:val="auto"/>
          <w:lang w:eastAsia="en-US"/>
        </w:rPr>
        <w:t xml:space="preserve">Public consultation was undertaken </w:t>
      </w:r>
      <w:r w:rsidR="00DC0876" w:rsidRPr="00B358B2">
        <w:rPr>
          <w:rFonts w:eastAsia="Calibri" w:cs="Arial"/>
          <w:color w:val="auto"/>
          <w:lang w:eastAsia="en-US"/>
        </w:rPr>
        <w:t xml:space="preserve">for a period of 8 weeks </w:t>
      </w:r>
      <w:r w:rsidR="00185FA5" w:rsidRPr="00B358B2">
        <w:rPr>
          <w:rFonts w:eastAsia="Calibri" w:cs="Arial"/>
          <w:color w:val="auto"/>
          <w:lang w:eastAsia="en-US"/>
        </w:rPr>
        <w:t xml:space="preserve">from </w:t>
      </w:r>
      <w:r w:rsidR="001E0DEA" w:rsidRPr="00B358B2">
        <w:rPr>
          <w:rFonts w:eastAsia="Calibri" w:cs="Arial"/>
          <w:color w:val="auto"/>
          <w:lang w:eastAsia="en-US"/>
        </w:rPr>
        <w:t>22 September 2021</w:t>
      </w:r>
      <w:r w:rsidR="00EE066A" w:rsidRPr="00B358B2">
        <w:rPr>
          <w:rFonts w:eastAsia="Calibri" w:cs="Arial"/>
          <w:color w:val="auto"/>
          <w:lang w:eastAsia="en-US"/>
        </w:rPr>
        <w:t xml:space="preserve"> to </w:t>
      </w:r>
      <w:r w:rsidR="001E0DEA" w:rsidRPr="00B358B2">
        <w:rPr>
          <w:rFonts w:eastAsia="Calibri" w:cs="Arial"/>
          <w:color w:val="auto"/>
          <w:lang w:eastAsia="en-US"/>
        </w:rPr>
        <w:t>17</w:t>
      </w:r>
      <w:r w:rsidR="00395472" w:rsidRPr="00B358B2">
        <w:rPr>
          <w:rFonts w:eastAsia="Calibri" w:cs="Arial"/>
          <w:color w:val="auto"/>
          <w:lang w:eastAsia="en-US"/>
        </w:rPr>
        <w:t xml:space="preserve"> November</w:t>
      </w:r>
      <w:r w:rsidR="001E0DEA" w:rsidRPr="00B358B2">
        <w:rPr>
          <w:rFonts w:eastAsia="Calibri" w:cs="Arial"/>
          <w:color w:val="auto"/>
          <w:lang w:eastAsia="en-US"/>
        </w:rPr>
        <w:t xml:space="preserve"> 2021</w:t>
      </w:r>
      <w:r w:rsidR="00E04B7C" w:rsidRPr="00B358B2">
        <w:rPr>
          <w:rFonts w:eastAsia="Calibri" w:cs="Arial"/>
          <w:color w:val="auto"/>
          <w:lang w:eastAsia="en-US"/>
        </w:rPr>
        <w:t xml:space="preserve"> in </w:t>
      </w:r>
      <w:r w:rsidR="00DC0876" w:rsidRPr="00B358B2">
        <w:rPr>
          <w:rFonts w:eastAsia="Calibri" w:cs="Arial"/>
          <w:color w:val="auto"/>
          <w:lang w:eastAsia="en-US"/>
        </w:rPr>
        <w:t xml:space="preserve">both </w:t>
      </w:r>
      <w:r w:rsidR="00E04B7C" w:rsidRPr="00B358B2">
        <w:rPr>
          <w:rFonts w:eastAsia="Calibri" w:cs="Arial"/>
          <w:color w:val="auto"/>
          <w:lang w:eastAsia="en-US"/>
        </w:rPr>
        <w:t>electronic and paper format</w:t>
      </w:r>
      <w:r w:rsidR="00DC0876" w:rsidRPr="00B358B2">
        <w:rPr>
          <w:rFonts w:eastAsia="Calibri" w:cs="Arial"/>
          <w:color w:val="auto"/>
          <w:lang w:eastAsia="en-US"/>
        </w:rPr>
        <w:t xml:space="preserve"> where required</w:t>
      </w:r>
      <w:r w:rsidR="00EE066A" w:rsidRPr="00B358B2">
        <w:rPr>
          <w:rFonts w:eastAsia="Calibri" w:cs="Arial"/>
          <w:color w:val="auto"/>
          <w:lang w:eastAsia="en-US"/>
        </w:rPr>
        <w:t xml:space="preserve">. </w:t>
      </w:r>
      <w:r w:rsidR="00DC0876" w:rsidRPr="00B358B2">
        <w:rPr>
          <w:rFonts w:eastAsia="Calibri" w:cs="Arial"/>
          <w:color w:val="auto"/>
          <w:lang w:eastAsia="en-US"/>
        </w:rPr>
        <w:t xml:space="preserve">The Council </w:t>
      </w:r>
      <w:r w:rsidR="005E4D1A" w:rsidRPr="00B358B2">
        <w:rPr>
          <w:rFonts w:eastAsia="Calibri" w:cs="Arial"/>
          <w:color w:val="auto"/>
          <w:lang w:eastAsia="en-US"/>
        </w:rPr>
        <w:t xml:space="preserve">consulted directly with </w:t>
      </w:r>
      <w:r w:rsidR="00DC0876" w:rsidRPr="00B358B2">
        <w:rPr>
          <w:rFonts w:eastAsia="Calibri" w:cs="Arial"/>
          <w:color w:val="auto"/>
          <w:lang w:eastAsia="en-US"/>
        </w:rPr>
        <w:t>existing CTR</w:t>
      </w:r>
      <w:r w:rsidR="005E4D1A" w:rsidRPr="00B358B2">
        <w:rPr>
          <w:rFonts w:eastAsia="Calibri" w:cs="Arial"/>
          <w:color w:val="auto"/>
          <w:lang w:eastAsia="en-US"/>
        </w:rPr>
        <w:t xml:space="preserve"> claimants</w:t>
      </w:r>
      <w:r w:rsidR="00FC5B3A">
        <w:rPr>
          <w:rFonts w:eastAsia="Calibri" w:cs="Arial"/>
          <w:color w:val="auto"/>
          <w:lang w:eastAsia="en-US"/>
        </w:rPr>
        <w:t xml:space="preserve">, </w:t>
      </w:r>
      <w:r w:rsidR="00185FA5" w:rsidRPr="00B358B2">
        <w:rPr>
          <w:rFonts w:eastAsia="Calibri" w:cs="Arial"/>
          <w:color w:val="auto"/>
          <w:lang w:eastAsia="en-US"/>
        </w:rPr>
        <w:t xml:space="preserve">the major preceptors, </w:t>
      </w:r>
      <w:r w:rsidR="005E4D1A" w:rsidRPr="00B358B2">
        <w:rPr>
          <w:rFonts w:eastAsia="Calibri" w:cs="Arial"/>
          <w:color w:val="auto"/>
          <w:lang w:eastAsia="en-US"/>
        </w:rPr>
        <w:t>Oxfordshire County Council and t</w:t>
      </w:r>
      <w:r w:rsidR="00185FA5" w:rsidRPr="00B358B2">
        <w:rPr>
          <w:rFonts w:eastAsia="Calibri" w:cs="Arial"/>
          <w:color w:val="auto"/>
          <w:lang w:eastAsia="en-US"/>
        </w:rPr>
        <w:t xml:space="preserve">he Thames Valley </w:t>
      </w:r>
      <w:r w:rsidR="00395472" w:rsidRPr="00B358B2">
        <w:rPr>
          <w:rFonts w:eastAsia="Calibri" w:cs="Arial"/>
          <w:color w:val="auto"/>
          <w:lang w:eastAsia="en-US"/>
        </w:rPr>
        <w:t>P</w:t>
      </w:r>
      <w:r w:rsidR="00E04B7C" w:rsidRPr="00B358B2">
        <w:rPr>
          <w:rFonts w:eastAsia="Calibri" w:cs="Arial"/>
          <w:color w:val="auto"/>
          <w:lang w:eastAsia="en-US"/>
        </w:rPr>
        <w:t xml:space="preserve">olice </w:t>
      </w:r>
      <w:r w:rsidR="005E4D1A" w:rsidRPr="00B358B2">
        <w:rPr>
          <w:rFonts w:eastAsia="Calibri" w:cs="Arial"/>
          <w:color w:val="auto"/>
          <w:lang w:eastAsia="en-US"/>
        </w:rPr>
        <w:t xml:space="preserve">and Crime </w:t>
      </w:r>
      <w:r w:rsidR="00E04B7C" w:rsidRPr="00B358B2">
        <w:rPr>
          <w:rFonts w:eastAsia="Calibri" w:cs="Arial"/>
          <w:color w:val="auto"/>
          <w:lang w:eastAsia="en-US"/>
        </w:rPr>
        <w:t xml:space="preserve">Commissioner </w:t>
      </w:r>
      <w:r w:rsidR="00FC5B3A">
        <w:rPr>
          <w:rFonts w:eastAsia="Calibri" w:cs="Arial"/>
          <w:color w:val="auto"/>
          <w:lang w:eastAsia="en-US"/>
        </w:rPr>
        <w:t>and also</w:t>
      </w:r>
      <w:r w:rsidR="00DC0876" w:rsidRPr="00B358B2">
        <w:rPr>
          <w:rFonts w:eastAsia="Calibri" w:cs="Arial"/>
          <w:color w:val="auto"/>
          <w:lang w:eastAsia="en-US"/>
        </w:rPr>
        <w:t xml:space="preserve"> advice agencies in Oxford</w:t>
      </w:r>
      <w:r w:rsidR="00185FA5" w:rsidRPr="00B358B2">
        <w:rPr>
          <w:rFonts w:eastAsia="Calibri" w:cs="Arial"/>
          <w:color w:val="auto"/>
          <w:lang w:eastAsia="en-US"/>
        </w:rPr>
        <w:t xml:space="preserve">. </w:t>
      </w:r>
    </w:p>
    <w:p w14:paraId="1A76FF46" w14:textId="77777777" w:rsidR="00395472" w:rsidRPr="00B358B2" w:rsidRDefault="00395472" w:rsidP="00392B17">
      <w:pPr>
        <w:spacing w:after="0"/>
        <w:rPr>
          <w:rFonts w:eastAsia="Calibri" w:cs="Arial"/>
          <w:color w:val="auto"/>
          <w:lang w:eastAsia="en-US"/>
        </w:rPr>
      </w:pPr>
    </w:p>
    <w:p w14:paraId="622BE164" w14:textId="77777777" w:rsidR="001E0DEA" w:rsidRPr="00B358B2" w:rsidRDefault="007921BC" w:rsidP="001E0DEA">
      <w:pPr>
        <w:pStyle w:val="ListParagraph"/>
        <w:numPr>
          <w:ilvl w:val="0"/>
          <w:numId w:val="6"/>
        </w:numPr>
        <w:rPr>
          <w:rFonts w:eastAsia="Calibri" w:cs="Arial"/>
          <w:color w:val="auto"/>
          <w:lang w:eastAsia="en-US"/>
        </w:rPr>
      </w:pPr>
      <w:r w:rsidRPr="00B358B2">
        <w:rPr>
          <w:rFonts w:eastAsia="Calibri" w:cs="Arial"/>
          <w:color w:val="auto"/>
          <w:lang w:eastAsia="en-US"/>
        </w:rPr>
        <w:t xml:space="preserve">A number of </w:t>
      </w:r>
      <w:r w:rsidR="00D56DCB" w:rsidRPr="00B358B2">
        <w:rPr>
          <w:rFonts w:eastAsia="Calibri" w:cs="Arial"/>
          <w:color w:val="auto"/>
          <w:lang w:eastAsia="en-US"/>
        </w:rPr>
        <w:t xml:space="preserve">new </w:t>
      </w:r>
      <w:r w:rsidR="00395472" w:rsidRPr="00B358B2">
        <w:rPr>
          <w:rFonts w:eastAsia="Calibri" w:cs="Arial"/>
          <w:color w:val="auto"/>
          <w:lang w:eastAsia="en-US"/>
        </w:rPr>
        <w:t>proposals were s</w:t>
      </w:r>
      <w:r w:rsidR="00705FA4" w:rsidRPr="00B358B2">
        <w:rPr>
          <w:rFonts w:eastAsia="Calibri" w:cs="Arial"/>
          <w:color w:val="auto"/>
          <w:lang w:eastAsia="en-US"/>
        </w:rPr>
        <w:t>ubmitted for consultation</w:t>
      </w:r>
      <w:r w:rsidR="00A62D07" w:rsidRPr="00B358B2">
        <w:rPr>
          <w:rFonts w:eastAsia="Calibri" w:cs="Arial"/>
          <w:color w:val="auto"/>
          <w:lang w:eastAsia="en-US"/>
        </w:rPr>
        <w:t xml:space="preserve">. </w:t>
      </w:r>
      <w:r w:rsidR="00705FA4" w:rsidRPr="00B358B2">
        <w:rPr>
          <w:rFonts w:eastAsia="Calibri" w:cs="Arial"/>
          <w:color w:val="auto"/>
          <w:lang w:eastAsia="en-US"/>
        </w:rPr>
        <w:t xml:space="preserve">The </w:t>
      </w:r>
      <w:r w:rsidR="00395472" w:rsidRPr="00B358B2">
        <w:rPr>
          <w:rFonts w:eastAsia="Calibri" w:cs="Arial"/>
          <w:color w:val="auto"/>
          <w:lang w:eastAsia="en-US"/>
        </w:rPr>
        <w:t>proposals related to</w:t>
      </w:r>
      <w:r w:rsidRPr="00B358B2">
        <w:rPr>
          <w:rFonts w:eastAsia="Calibri" w:cs="Arial"/>
          <w:color w:val="auto"/>
          <w:lang w:eastAsia="en-US"/>
        </w:rPr>
        <w:t>:</w:t>
      </w:r>
      <w:r w:rsidR="00395472" w:rsidRPr="00B358B2">
        <w:rPr>
          <w:rFonts w:eastAsia="Calibri" w:cs="Arial"/>
          <w:color w:val="auto"/>
          <w:lang w:eastAsia="en-US"/>
        </w:rPr>
        <w:t xml:space="preserve"> </w:t>
      </w:r>
    </w:p>
    <w:p w14:paraId="4872A5AD" w14:textId="77777777" w:rsidR="001E0DEA" w:rsidRPr="00B358B2" w:rsidRDefault="001E0DEA" w:rsidP="001E0DEA">
      <w:pPr>
        <w:numPr>
          <w:ilvl w:val="0"/>
          <w:numId w:val="32"/>
        </w:numPr>
        <w:tabs>
          <w:tab w:val="left" w:pos="426"/>
        </w:tabs>
        <w:spacing w:after="120"/>
        <w:rPr>
          <w:rFonts w:cs="Arial"/>
        </w:rPr>
      </w:pPr>
      <w:r w:rsidRPr="00B358B2">
        <w:rPr>
          <w:rFonts w:cs="Arial"/>
        </w:rPr>
        <w:t xml:space="preserve">Whether or not to increase the Income Bands or to freeze at current levels. Where wages are being increased freezing income bands to current levels will reduce the amount of CTR given although clearly in the current environment post pandemic this impact may be negligible since wage rises in </w:t>
      </w:r>
      <w:r w:rsidRPr="00B358B2">
        <w:rPr>
          <w:rFonts w:cs="Arial"/>
        </w:rPr>
        <w:lastRenderedPageBreak/>
        <w:t xml:space="preserve">most sectors are unlikely to increase rapidly as business try to initiate their recovery. </w:t>
      </w:r>
    </w:p>
    <w:p w14:paraId="714AAA59" w14:textId="7D8698B2" w:rsidR="001E0DEA" w:rsidRPr="00B358B2" w:rsidRDefault="00FC5B3A" w:rsidP="001E0DEA">
      <w:pPr>
        <w:numPr>
          <w:ilvl w:val="0"/>
          <w:numId w:val="32"/>
        </w:numPr>
        <w:tabs>
          <w:tab w:val="left" w:pos="426"/>
        </w:tabs>
        <w:spacing w:after="120"/>
        <w:rPr>
          <w:rFonts w:cs="Arial"/>
        </w:rPr>
      </w:pPr>
      <w:r>
        <w:rPr>
          <w:rFonts w:cs="Arial"/>
        </w:rPr>
        <w:t>If the Council were to increase income bands,</w:t>
      </w:r>
      <w:r w:rsidR="001E0DEA" w:rsidRPr="00B358B2">
        <w:rPr>
          <w:rFonts w:cs="Arial"/>
        </w:rPr>
        <w:t xml:space="preserve"> to use CPI instead of RPI</w:t>
      </w:r>
      <w:r w:rsidR="006E7B46">
        <w:rPr>
          <w:rFonts w:cs="Arial"/>
        </w:rPr>
        <w:t xml:space="preserve"> where stated</w:t>
      </w:r>
      <w:r w:rsidR="001E0DEA" w:rsidRPr="00B358B2">
        <w:rPr>
          <w:rFonts w:cs="Arial"/>
        </w:rPr>
        <w:t>, in line with the DWP up-ratings. CPI is generally lower than RPI and will lead to lower CTR payments.</w:t>
      </w:r>
    </w:p>
    <w:p w14:paraId="587603A1" w14:textId="2863716C" w:rsidR="001E0DEA" w:rsidRPr="00B358B2" w:rsidRDefault="001E0DEA" w:rsidP="001E0DEA">
      <w:pPr>
        <w:numPr>
          <w:ilvl w:val="0"/>
          <w:numId w:val="32"/>
        </w:numPr>
        <w:tabs>
          <w:tab w:val="left" w:pos="426"/>
        </w:tabs>
        <w:spacing w:after="120"/>
        <w:rPr>
          <w:rFonts w:eastAsia="Calibri" w:cs="Arial"/>
          <w:lang w:eastAsia="en-US"/>
        </w:rPr>
      </w:pPr>
      <w:r w:rsidRPr="00B358B2">
        <w:rPr>
          <w:rFonts w:eastAsia="Calibri" w:cs="Arial"/>
          <w:lang w:eastAsia="en-US"/>
        </w:rPr>
        <w:t>To consider if the banded income approach should take into account family size.</w:t>
      </w:r>
      <w:r w:rsidRPr="00B358B2">
        <w:rPr>
          <w:rFonts w:cs="Arial"/>
        </w:rPr>
        <w:t xml:space="preserve"> Currently the scheme has a single structure for a total income for all applications, with no regard to household composition</w:t>
      </w:r>
      <w:r w:rsidR="00463DD7">
        <w:rPr>
          <w:rFonts w:cs="Arial"/>
        </w:rPr>
        <w:t>.</w:t>
      </w:r>
    </w:p>
    <w:p w14:paraId="42761586" w14:textId="77777777" w:rsidR="001E0DEA" w:rsidRPr="00B358B2" w:rsidRDefault="001E0DEA" w:rsidP="00DE5DDE">
      <w:pPr>
        <w:numPr>
          <w:ilvl w:val="0"/>
          <w:numId w:val="32"/>
        </w:numPr>
        <w:tabs>
          <w:tab w:val="left" w:pos="426"/>
        </w:tabs>
        <w:spacing w:after="120"/>
        <w:rPr>
          <w:rFonts w:cs="Arial"/>
        </w:rPr>
      </w:pPr>
      <w:r w:rsidRPr="00B358B2">
        <w:rPr>
          <w:rFonts w:cs="Arial"/>
        </w:rPr>
        <w:t xml:space="preserve">To consider giving a reduction of up to 100% for passported cases, limiting the reduction to a % or a fixed weekly amount for all other claims. If </w:t>
      </w:r>
      <w:r w:rsidR="00FC5B3A">
        <w:rPr>
          <w:rFonts w:cs="Arial"/>
        </w:rPr>
        <w:t>the Council</w:t>
      </w:r>
      <w:r w:rsidRPr="00B358B2">
        <w:rPr>
          <w:rFonts w:cs="Arial"/>
        </w:rPr>
        <w:t xml:space="preserve"> were to reduce the % award, or ask all claimants to pay a set amount, </w:t>
      </w:r>
      <w:r w:rsidR="00FC5B3A">
        <w:rPr>
          <w:rFonts w:cs="Arial"/>
        </w:rPr>
        <w:t>the Council’s</w:t>
      </w:r>
      <w:r w:rsidRPr="00B358B2">
        <w:rPr>
          <w:rFonts w:cs="Arial"/>
        </w:rPr>
        <w:t xml:space="preserve"> tax base </w:t>
      </w:r>
      <w:r w:rsidR="00FC5B3A">
        <w:rPr>
          <w:rFonts w:cs="Arial"/>
        </w:rPr>
        <w:t xml:space="preserve">(the total of Band D properties used in the calculation of council tax income) </w:t>
      </w:r>
      <w:r w:rsidRPr="00B358B2">
        <w:rPr>
          <w:rFonts w:cs="Arial"/>
        </w:rPr>
        <w:t xml:space="preserve">would increase in future years, as there would be fewer Band D equivalents lost as a result of awarding CTR. </w:t>
      </w:r>
    </w:p>
    <w:p w14:paraId="47248DF2" w14:textId="77777777" w:rsidR="007635D4" w:rsidRPr="00B358B2" w:rsidRDefault="001E0DEA" w:rsidP="004D1BE5">
      <w:pPr>
        <w:pStyle w:val="ListParagraph"/>
        <w:numPr>
          <w:ilvl w:val="0"/>
          <w:numId w:val="37"/>
        </w:numPr>
        <w:autoSpaceDE w:val="0"/>
        <w:autoSpaceDN w:val="0"/>
        <w:adjustRightInd w:val="0"/>
        <w:spacing w:after="0"/>
        <w:jc w:val="both"/>
        <w:rPr>
          <w:rFonts w:cs="Arial"/>
        </w:rPr>
      </w:pPr>
      <w:r w:rsidRPr="00B358B2">
        <w:rPr>
          <w:rFonts w:cs="Arial"/>
        </w:rPr>
        <w:t>To automatically reduce the CTR award to a maximum of 75% if there is a non-dependant (adult aged 18 or over) in the property. In cases where there is a disability benefit in payment for the applicant or an additional adult, then the reduction would not be applied. This mirrors the application of the single person discount.</w:t>
      </w:r>
    </w:p>
    <w:p w14:paraId="50F2BD98" w14:textId="77777777" w:rsidR="00392B17" w:rsidRPr="00B358B2" w:rsidRDefault="00392B17" w:rsidP="00FD1632">
      <w:pPr>
        <w:autoSpaceDE w:val="0"/>
        <w:autoSpaceDN w:val="0"/>
        <w:adjustRightInd w:val="0"/>
        <w:spacing w:after="0"/>
        <w:rPr>
          <w:rFonts w:cs="Arial"/>
          <w:color w:val="auto"/>
          <w:highlight w:val="yellow"/>
        </w:rPr>
      </w:pPr>
    </w:p>
    <w:p w14:paraId="0B605CF1" w14:textId="77777777" w:rsidR="006B1139" w:rsidRPr="00B358B2" w:rsidRDefault="006B1139" w:rsidP="006B1139">
      <w:pPr>
        <w:spacing w:after="0"/>
        <w:ind w:left="720"/>
        <w:rPr>
          <w:rFonts w:eastAsia="Calibri" w:cs="Arial"/>
          <w:b/>
          <w:color w:val="auto"/>
          <w:lang w:eastAsia="en-US"/>
        </w:rPr>
      </w:pPr>
      <w:r w:rsidRPr="00B358B2">
        <w:rPr>
          <w:rFonts w:eastAsia="Calibri" w:cs="Arial"/>
          <w:b/>
          <w:color w:val="auto"/>
          <w:lang w:eastAsia="en-US"/>
        </w:rPr>
        <w:t>Summary of consultation responses</w:t>
      </w:r>
    </w:p>
    <w:p w14:paraId="0ADA5289" w14:textId="77777777" w:rsidR="001A3F8B" w:rsidRPr="00B358B2" w:rsidRDefault="001A3F8B" w:rsidP="00F6293E">
      <w:pPr>
        <w:rPr>
          <w:rFonts w:cs="Arial"/>
          <w:color w:val="auto"/>
          <w:highlight w:val="yellow"/>
        </w:rPr>
      </w:pPr>
    </w:p>
    <w:p w14:paraId="749D0218" w14:textId="571D04F2" w:rsidR="00A05F90" w:rsidRPr="00B358B2" w:rsidRDefault="001A3F8B" w:rsidP="001A3F8B">
      <w:pPr>
        <w:pStyle w:val="ListParagraph"/>
        <w:numPr>
          <w:ilvl w:val="0"/>
          <w:numId w:val="6"/>
        </w:numPr>
        <w:rPr>
          <w:rFonts w:cs="Arial"/>
          <w:color w:val="auto"/>
        </w:rPr>
      </w:pPr>
      <w:r w:rsidRPr="00B358B2">
        <w:rPr>
          <w:rFonts w:eastAsia="Calibri" w:cs="Arial"/>
          <w:color w:val="auto"/>
          <w:lang w:eastAsia="en-US"/>
        </w:rPr>
        <w:t xml:space="preserve">Appendix 1 provides a summary </w:t>
      </w:r>
      <w:r w:rsidR="006B1139" w:rsidRPr="00B358B2">
        <w:rPr>
          <w:rFonts w:eastAsia="Calibri" w:cs="Arial"/>
          <w:color w:val="auto"/>
          <w:lang w:eastAsia="en-US"/>
        </w:rPr>
        <w:t xml:space="preserve">of the responses to the consultation on the proposed changes to the CTR Scheme. </w:t>
      </w:r>
      <w:r w:rsidRPr="00B358B2">
        <w:rPr>
          <w:rFonts w:eastAsia="Calibri" w:cs="Arial"/>
          <w:color w:val="auto"/>
          <w:lang w:eastAsia="en-US"/>
        </w:rPr>
        <w:t>Details of those consulted with directly are listed at 4</w:t>
      </w:r>
      <w:r w:rsidR="00463DD7">
        <w:rPr>
          <w:rFonts w:eastAsia="Calibri" w:cs="Arial"/>
          <w:color w:val="auto"/>
          <w:lang w:eastAsia="en-US"/>
        </w:rPr>
        <w:t xml:space="preserve"> a</w:t>
      </w:r>
      <w:r w:rsidRPr="00B358B2">
        <w:rPr>
          <w:rFonts w:eastAsia="Calibri" w:cs="Arial"/>
          <w:color w:val="auto"/>
          <w:lang w:eastAsia="en-US"/>
        </w:rPr>
        <w:t>bove</w:t>
      </w:r>
      <w:r w:rsidR="00463DD7">
        <w:rPr>
          <w:rFonts w:eastAsia="Calibri" w:cs="Arial"/>
          <w:color w:val="auto"/>
          <w:lang w:eastAsia="en-US"/>
        </w:rPr>
        <w:t>.</w:t>
      </w:r>
    </w:p>
    <w:p w14:paraId="466658FD" w14:textId="77777777" w:rsidR="006B1139" w:rsidRPr="00B358B2" w:rsidRDefault="001A3F8B" w:rsidP="007A58DA">
      <w:pPr>
        <w:pStyle w:val="ListParagraph"/>
        <w:numPr>
          <w:ilvl w:val="0"/>
          <w:numId w:val="6"/>
        </w:numPr>
        <w:rPr>
          <w:rFonts w:cs="Arial"/>
          <w:color w:val="auto"/>
        </w:rPr>
      </w:pPr>
      <w:r w:rsidRPr="00B358B2">
        <w:rPr>
          <w:rFonts w:eastAsia="Calibri" w:cs="Arial"/>
          <w:color w:val="auto"/>
          <w:lang w:eastAsia="en-US"/>
        </w:rPr>
        <w:t>P</w:t>
      </w:r>
      <w:r w:rsidR="006B1139" w:rsidRPr="00B358B2">
        <w:rPr>
          <w:rFonts w:eastAsia="Calibri" w:cs="Arial"/>
          <w:color w:val="auto"/>
          <w:lang w:eastAsia="en-US"/>
        </w:rPr>
        <w:t xml:space="preserve">aper copies were distributed to libraries </w:t>
      </w:r>
      <w:r w:rsidRPr="00B358B2">
        <w:rPr>
          <w:rFonts w:eastAsia="Calibri" w:cs="Arial"/>
          <w:color w:val="auto"/>
          <w:lang w:eastAsia="en-US"/>
        </w:rPr>
        <w:t>and</w:t>
      </w:r>
      <w:r w:rsidR="006B1139" w:rsidRPr="00B358B2">
        <w:rPr>
          <w:rFonts w:eastAsia="Calibri" w:cs="Arial"/>
          <w:color w:val="auto"/>
          <w:lang w:eastAsia="en-US"/>
        </w:rPr>
        <w:t xml:space="preserve"> were sent to those t</w:t>
      </w:r>
      <w:r w:rsidRPr="00B358B2">
        <w:rPr>
          <w:rFonts w:eastAsia="Calibri" w:cs="Arial"/>
          <w:color w:val="auto"/>
          <w:lang w:eastAsia="en-US"/>
        </w:rPr>
        <w:t xml:space="preserve">hat </w:t>
      </w:r>
      <w:r w:rsidR="00857E6D" w:rsidRPr="00B358B2">
        <w:rPr>
          <w:rFonts w:eastAsia="Calibri" w:cs="Arial"/>
          <w:color w:val="auto"/>
          <w:lang w:eastAsia="en-US"/>
        </w:rPr>
        <w:t>requested a paper version</w:t>
      </w:r>
      <w:r w:rsidRPr="00B358B2">
        <w:rPr>
          <w:rFonts w:eastAsia="Calibri" w:cs="Arial"/>
          <w:color w:val="auto"/>
          <w:lang w:eastAsia="en-US"/>
        </w:rPr>
        <w:t xml:space="preserve">. </w:t>
      </w:r>
    </w:p>
    <w:p w14:paraId="5F70CEEE" w14:textId="77777777" w:rsidR="006B1139" w:rsidRPr="00B358B2" w:rsidRDefault="0021775B" w:rsidP="00857E6D">
      <w:pPr>
        <w:pStyle w:val="ListParagraph"/>
        <w:numPr>
          <w:ilvl w:val="0"/>
          <w:numId w:val="6"/>
        </w:numPr>
        <w:rPr>
          <w:rFonts w:cs="Arial"/>
          <w:color w:val="auto"/>
        </w:rPr>
      </w:pPr>
      <w:r w:rsidRPr="00B358B2">
        <w:rPr>
          <w:rFonts w:eastAsia="Calibri" w:cs="Arial"/>
          <w:color w:val="auto"/>
          <w:lang w:eastAsia="en-US"/>
        </w:rPr>
        <w:t>294</w:t>
      </w:r>
      <w:r w:rsidR="006B1139" w:rsidRPr="00B358B2">
        <w:rPr>
          <w:rFonts w:eastAsia="Calibri" w:cs="Arial"/>
          <w:color w:val="auto"/>
          <w:lang w:eastAsia="en-US"/>
        </w:rPr>
        <w:t xml:space="preserve"> online responses </w:t>
      </w:r>
      <w:r w:rsidRPr="00B358B2">
        <w:rPr>
          <w:rFonts w:eastAsia="Calibri" w:cs="Arial"/>
          <w:color w:val="auto"/>
          <w:lang w:eastAsia="en-US"/>
        </w:rPr>
        <w:t>(8 from organisations</w:t>
      </w:r>
      <w:r w:rsidR="00C728F7">
        <w:rPr>
          <w:rFonts w:eastAsia="Calibri" w:cs="Arial"/>
          <w:color w:val="auto"/>
          <w:lang w:eastAsia="en-US"/>
        </w:rPr>
        <w:t xml:space="preserve"> and precepting authorities</w:t>
      </w:r>
      <w:r w:rsidRPr="00B358B2">
        <w:rPr>
          <w:rFonts w:eastAsia="Calibri" w:cs="Arial"/>
          <w:color w:val="auto"/>
          <w:lang w:eastAsia="en-US"/>
        </w:rPr>
        <w:t xml:space="preserve">) </w:t>
      </w:r>
      <w:r w:rsidR="00A801B8" w:rsidRPr="00B358B2">
        <w:rPr>
          <w:rFonts w:eastAsia="Calibri" w:cs="Arial"/>
          <w:color w:val="auto"/>
          <w:lang w:eastAsia="en-US"/>
        </w:rPr>
        <w:t xml:space="preserve">and </w:t>
      </w:r>
      <w:r w:rsidR="00663E93" w:rsidRPr="00B358B2">
        <w:rPr>
          <w:rFonts w:eastAsia="Calibri" w:cs="Arial"/>
          <w:color w:val="auto"/>
          <w:lang w:eastAsia="en-US"/>
        </w:rPr>
        <w:t>6</w:t>
      </w:r>
      <w:r w:rsidR="00A801B8" w:rsidRPr="00B358B2">
        <w:rPr>
          <w:rFonts w:eastAsia="Calibri" w:cs="Arial"/>
          <w:color w:val="auto"/>
          <w:lang w:eastAsia="en-US"/>
        </w:rPr>
        <w:t xml:space="preserve"> paper responses </w:t>
      </w:r>
      <w:r w:rsidRPr="00B358B2">
        <w:rPr>
          <w:rFonts w:eastAsia="Calibri" w:cs="Arial"/>
          <w:color w:val="auto"/>
          <w:lang w:eastAsia="en-US"/>
        </w:rPr>
        <w:t>were received, the majority of</w:t>
      </w:r>
      <w:r w:rsidR="006B1139" w:rsidRPr="00B358B2">
        <w:rPr>
          <w:rFonts w:eastAsia="Calibri" w:cs="Arial"/>
          <w:color w:val="auto"/>
          <w:lang w:eastAsia="en-US"/>
        </w:rPr>
        <w:t xml:space="preserve"> </w:t>
      </w:r>
      <w:r w:rsidR="007A58DA" w:rsidRPr="00B358B2">
        <w:rPr>
          <w:rFonts w:eastAsia="Calibri" w:cs="Arial"/>
          <w:color w:val="auto"/>
          <w:lang w:eastAsia="en-US"/>
        </w:rPr>
        <w:t xml:space="preserve">responses </w:t>
      </w:r>
      <w:r w:rsidRPr="00B358B2">
        <w:rPr>
          <w:rFonts w:eastAsia="Calibri" w:cs="Arial"/>
          <w:color w:val="auto"/>
          <w:lang w:eastAsia="en-US"/>
        </w:rPr>
        <w:t>were fully completed</w:t>
      </w:r>
      <w:r w:rsidR="006B1139" w:rsidRPr="00B358B2">
        <w:rPr>
          <w:rFonts w:eastAsia="Calibri" w:cs="Arial"/>
          <w:color w:val="auto"/>
          <w:lang w:eastAsia="en-US"/>
        </w:rPr>
        <w:t xml:space="preserve">, with many providing very detailed feedback and showing a good understanding of the issues. In summary: </w:t>
      </w:r>
    </w:p>
    <w:p w14:paraId="05BF6551" w14:textId="77777777" w:rsidR="006B1139" w:rsidRPr="00B358B2" w:rsidRDefault="006B1139" w:rsidP="006B1139">
      <w:pPr>
        <w:spacing w:after="0"/>
        <w:ind w:left="720"/>
        <w:rPr>
          <w:rFonts w:eastAsia="Calibri" w:cs="Arial"/>
          <w:color w:val="auto"/>
          <w:lang w:eastAsia="en-US"/>
        </w:rPr>
      </w:pPr>
    </w:p>
    <w:p w14:paraId="1A9E9AA3" w14:textId="6F0C57A8" w:rsidR="006B1139" w:rsidRPr="00B358B2" w:rsidRDefault="006B1139" w:rsidP="006B1139">
      <w:pPr>
        <w:pStyle w:val="ListParagraph"/>
        <w:numPr>
          <w:ilvl w:val="0"/>
          <w:numId w:val="28"/>
        </w:numPr>
        <w:ind w:left="1134"/>
        <w:rPr>
          <w:rFonts w:cs="Arial"/>
        </w:rPr>
      </w:pPr>
      <w:r w:rsidRPr="00B358B2">
        <w:rPr>
          <w:rFonts w:cs="Arial"/>
        </w:rPr>
        <w:t xml:space="preserve">There </w:t>
      </w:r>
      <w:r w:rsidR="0021775B" w:rsidRPr="00B358B2">
        <w:rPr>
          <w:rFonts w:cs="Arial"/>
        </w:rPr>
        <w:t>is</w:t>
      </w:r>
      <w:r w:rsidRPr="00B358B2">
        <w:rPr>
          <w:rFonts w:cs="Arial"/>
        </w:rPr>
        <w:t xml:space="preserve"> support for continuing to use income bandings and for the method of uprating the bandings used in the income band scheme</w:t>
      </w:r>
      <w:r w:rsidR="00211844">
        <w:rPr>
          <w:rFonts w:cs="Arial"/>
        </w:rPr>
        <w:t xml:space="preserve"> (see Section 9, Table 2)</w:t>
      </w:r>
      <w:r w:rsidRPr="00B358B2">
        <w:rPr>
          <w:rFonts w:cs="Arial"/>
        </w:rPr>
        <w:t xml:space="preserve">, </w:t>
      </w:r>
      <w:r w:rsidR="0021775B" w:rsidRPr="00B358B2">
        <w:rPr>
          <w:rFonts w:cs="Arial"/>
        </w:rPr>
        <w:t xml:space="preserve">(46% </w:t>
      </w:r>
      <w:r w:rsidR="005D1C58" w:rsidRPr="00B358B2">
        <w:rPr>
          <w:rFonts w:cs="Arial"/>
        </w:rPr>
        <w:t xml:space="preserve">agreed, </w:t>
      </w:r>
      <w:r w:rsidR="0021775B" w:rsidRPr="00B358B2">
        <w:rPr>
          <w:rFonts w:cs="Arial"/>
        </w:rPr>
        <w:t>32% disagreed</w:t>
      </w:r>
      <w:r w:rsidR="00663E93" w:rsidRPr="00B358B2">
        <w:rPr>
          <w:rFonts w:cs="Arial"/>
        </w:rPr>
        <w:t>)</w:t>
      </w:r>
      <w:r w:rsidR="0021775B" w:rsidRPr="00B358B2">
        <w:rPr>
          <w:rFonts w:cs="Arial"/>
        </w:rPr>
        <w:t xml:space="preserve">. 28% of respondents commented, </w:t>
      </w:r>
      <w:r w:rsidR="00FD6D84" w:rsidRPr="00B358B2">
        <w:rPr>
          <w:rFonts w:cs="Arial"/>
        </w:rPr>
        <w:t xml:space="preserve">and most wanted to see the uprating of the bands continue </w:t>
      </w:r>
      <w:r w:rsidR="00211844">
        <w:rPr>
          <w:rFonts w:cs="Arial"/>
        </w:rPr>
        <w:t>rather than freezing at the current level</w:t>
      </w:r>
      <w:r w:rsidR="00FD6D84" w:rsidRPr="00B358B2">
        <w:rPr>
          <w:rFonts w:cs="Arial"/>
        </w:rPr>
        <w:t>. It is clear those on low incomes are struggling with other increasing living costs. That said, 47% of respon</w:t>
      </w:r>
      <w:r w:rsidR="00663E93" w:rsidRPr="00B358B2">
        <w:rPr>
          <w:rFonts w:cs="Arial"/>
        </w:rPr>
        <w:t xml:space="preserve">dents </w:t>
      </w:r>
      <w:r w:rsidR="004D1BE5" w:rsidRPr="00B358B2">
        <w:rPr>
          <w:rFonts w:cs="Arial"/>
        </w:rPr>
        <w:t xml:space="preserve">then </w:t>
      </w:r>
      <w:r w:rsidR="00663E93" w:rsidRPr="00B358B2">
        <w:rPr>
          <w:rFonts w:cs="Arial"/>
        </w:rPr>
        <w:t>agreed to a freeze on upr</w:t>
      </w:r>
      <w:r w:rsidR="00FD6D84" w:rsidRPr="00B358B2">
        <w:rPr>
          <w:rFonts w:cs="Arial"/>
        </w:rPr>
        <w:t>at</w:t>
      </w:r>
      <w:r w:rsidR="004D1BE5" w:rsidRPr="00B358B2">
        <w:rPr>
          <w:rFonts w:cs="Arial"/>
        </w:rPr>
        <w:t>ing the bands, but the comments</w:t>
      </w:r>
      <w:r w:rsidR="005E2AAC" w:rsidRPr="00B358B2">
        <w:rPr>
          <w:rFonts w:cs="Arial"/>
        </w:rPr>
        <w:t xml:space="preserve"> </w:t>
      </w:r>
      <w:r w:rsidR="00B64204">
        <w:rPr>
          <w:rFonts w:cs="Arial"/>
        </w:rPr>
        <w:t xml:space="preserve">suggested the Council </w:t>
      </w:r>
      <w:r w:rsidR="00FD6D84" w:rsidRPr="00B358B2">
        <w:rPr>
          <w:rFonts w:cs="Arial"/>
        </w:rPr>
        <w:t>should continue to increase the bands</w:t>
      </w:r>
      <w:r w:rsidR="00211844">
        <w:rPr>
          <w:rFonts w:cs="Arial"/>
        </w:rPr>
        <w:t xml:space="preserve"> (see Section 9, Table 2)</w:t>
      </w:r>
      <w:r w:rsidR="00FD6D84" w:rsidRPr="00B358B2">
        <w:rPr>
          <w:rFonts w:cs="Arial"/>
        </w:rPr>
        <w:t>. There were lots of comments regarding pensioners, however it is onl</w:t>
      </w:r>
      <w:r w:rsidR="00B64204">
        <w:rPr>
          <w:rFonts w:cs="Arial"/>
        </w:rPr>
        <w:t>y the Working Age Scheme the Council has</w:t>
      </w:r>
      <w:r w:rsidR="00FD6D84" w:rsidRPr="00B358B2">
        <w:rPr>
          <w:rFonts w:cs="Arial"/>
        </w:rPr>
        <w:t xml:space="preserve"> any control over.</w:t>
      </w:r>
    </w:p>
    <w:p w14:paraId="519F1A42" w14:textId="014B1293" w:rsidR="00FD6D84" w:rsidRPr="00B358B2" w:rsidRDefault="00FD6D84" w:rsidP="006B1139">
      <w:pPr>
        <w:pStyle w:val="ListParagraph"/>
        <w:numPr>
          <w:ilvl w:val="0"/>
          <w:numId w:val="28"/>
        </w:numPr>
        <w:ind w:left="1134"/>
        <w:rPr>
          <w:rFonts w:cs="Arial"/>
        </w:rPr>
      </w:pPr>
      <w:r w:rsidRPr="00B358B2">
        <w:rPr>
          <w:rFonts w:cs="Arial"/>
        </w:rPr>
        <w:t>52% thought we should consider the household structure in relation to the bands</w:t>
      </w:r>
      <w:r w:rsidR="00485ECC" w:rsidRPr="00B358B2">
        <w:rPr>
          <w:rFonts w:cs="Arial"/>
        </w:rPr>
        <w:t>, however there were comments around income being more relevant than household make up. Many want to keep the scheme as it is to avoid complication</w:t>
      </w:r>
      <w:r w:rsidR="00463DD7">
        <w:rPr>
          <w:rFonts w:cs="Arial"/>
        </w:rPr>
        <w:t>.</w:t>
      </w:r>
    </w:p>
    <w:p w14:paraId="5FBF34E9" w14:textId="3814354B" w:rsidR="006B1139" w:rsidRPr="00B358B2" w:rsidRDefault="00485ECC" w:rsidP="00AD07A6">
      <w:pPr>
        <w:pStyle w:val="ListParagraph"/>
        <w:numPr>
          <w:ilvl w:val="0"/>
          <w:numId w:val="28"/>
        </w:numPr>
        <w:ind w:left="1134"/>
        <w:rPr>
          <w:rFonts w:cs="Arial"/>
        </w:rPr>
      </w:pPr>
      <w:r w:rsidRPr="00B358B2">
        <w:rPr>
          <w:rFonts w:cs="Arial"/>
        </w:rPr>
        <w:lastRenderedPageBreak/>
        <w:t xml:space="preserve">54% said that they did not want to see everyone having to pay something towards their Council Tax. 60% did not want to see everyone having to pay something regardless of their income, which highlights how </w:t>
      </w:r>
      <w:r w:rsidR="004D1BE5" w:rsidRPr="00B358B2">
        <w:rPr>
          <w:rFonts w:cs="Arial"/>
        </w:rPr>
        <w:t>important maintaining a 100% CTR</w:t>
      </w:r>
      <w:r w:rsidRPr="00B358B2">
        <w:rPr>
          <w:rFonts w:cs="Arial"/>
        </w:rPr>
        <w:t xml:space="preserve"> scheme is to claimants. Comments were mixed though, with those clearly struggling already keen to still receive full support</w:t>
      </w:r>
      <w:r w:rsidR="00463DD7">
        <w:rPr>
          <w:rFonts w:cs="Arial"/>
        </w:rPr>
        <w:t>.</w:t>
      </w:r>
    </w:p>
    <w:p w14:paraId="455DADCE" w14:textId="7A4D584F" w:rsidR="00AD07A6" w:rsidRPr="00B358B2" w:rsidRDefault="00AD07A6" w:rsidP="00AD07A6">
      <w:pPr>
        <w:pStyle w:val="ListParagraph"/>
        <w:numPr>
          <w:ilvl w:val="0"/>
          <w:numId w:val="28"/>
        </w:numPr>
        <w:ind w:left="1134"/>
        <w:rPr>
          <w:rFonts w:cs="Arial"/>
        </w:rPr>
      </w:pPr>
      <w:r w:rsidRPr="00B358B2">
        <w:rPr>
          <w:rFonts w:cs="Arial"/>
        </w:rPr>
        <w:t>Changes to restrict the award to 75% where there is a non-dependant deduction were mixed, with this not receiving a great deal of support and the comments suggest this is not supported</w:t>
      </w:r>
      <w:r w:rsidR="00463DD7">
        <w:rPr>
          <w:rFonts w:cs="Arial"/>
        </w:rPr>
        <w:t>.</w:t>
      </w:r>
    </w:p>
    <w:p w14:paraId="35E1858A" w14:textId="77777777" w:rsidR="006B1139" w:rsidRPr="00B358B2" w:rsidRDefault="006B1139" w:rsidP="006B1139">
      <w:pPr>
        <w:pStyle w:val="ListParagraph"/>
        <w:numPr>
          <w:ilvl w:val="0"/>
          <w:numId w:val="28"/>
        </w:numPr>
        <w:ind w:left="1134"/>
        <w:rPr>
          <w:rFonts w:cs="Arial"/>
        </w:rPr>
      </w:pPr>
      <w:r w:rsidRPr="00B358B2">
        <w:rPr>
          <w:rFonts w:eastAsia="Calibri" w:cs="Arial"/>
          <w:color w:val="auto"/>
          <w:lang w:eastAsia="en-US"/>
        </w:rPr>
        <w:t>The majority of respondents did not want to see an increase in Coun</w:t>
      </w:r>
      <w:r w:rsidR="00AD07A6" w:rsidRPr="00B358B2">
        <w:rPr>
          <w:rFonts w:eastAsia="Calibri" w:cs="Arial"/>
          <w:color w:val="auto"/>
          <w:lang w:eastAsia="en-US"/>
        </w:rPr>
        <w:t xml:space="preserve">cil Tax </w:t>
      </w:r>
      <w:proofErr w:type="gramStart"/>
      <w:r w:rsidR="00AD07A6" w:rsidRPr="00B358B2">
        <w:rPr>
          <w:rFonts w:eastAsia="Calibri" w:cs="Arial"/>
          <w:color w:val="auto"/>
          <w:lang w:eastAsia="en-US"/>
        </w:rPr>
        <w:t>or</w:t>
      </w:r>
      <w:proofErr w:type="gramEnd"/>
      <w:r w:rsidR="00AD07A6" w:rsidRPr="00B358B2">
        <w:rPr>
          <w:rFonts w:eastAsia="Calibri" w:cs="Arial"/>
          <w:color w:val="auto"/>
          <w:lang w:eastAsia="en-US"/>
        </w:rPr>
        <w:t xml:space="preserve"> Fees and Charges, but supported</w:t>
      </w:r>
      <w:r w:rsidRPr="00B358B2">
        <w:rPr>
          <w:rFonts w:eastAsia="Calibri" w:cs="Arial"/>
          <w:color w:val="auto"/>
          <w:lang w:eastAsia="en-US"/>
        </w:rPr>
        <w:t xml:space="preserve"> cutting other services to fund the CTR Scheme.</w:t>
      </w:r>
    </w:p>
    <w:p w14:paraId="27CCC079" w14:textId="77777777" w:rsidR="00F6293E" w:rsidRPr="00B358B2" w:rsidRDefault="00F6293E" w:rsidP="00F6293E">
      <w:pPr>
        <w:ind w:left="54" w:firstLine="720"/>
        <w:rPr>
          <w:rFonts w:cs="Arial"/>
        </w:rPr>
      </w:pPr>
      <w:r w:rsidRPr="00B358B2">
        <w:rPr>
          <w:rFonts w:cs="Arial"/>
        </w:rPr>
        <w:t>Additional comments to note:</w:t>
      </w:r>
    </w:p>
    <w:p w14:paraId="7500A46A" w14:textId="4E69F184" w:rsidR="00C327F0" w:rsidRPr="00B358B2" w:rsidRDefault="00F6293E" w:rsidP="00C327F0">
      <w:pPr>
        <w:pStyle w:val="ListParagraph"/>
        <w:numPr>
          <w:ilvl w:val="0"/>
          <w:numId w:val="40"/>
        </w:numPr>
        <w:tabs>
          <w:tab w:val="clear" w:pos="426"/>
        </w:tabs>
        <w:spacing w:after="0"/>
        <w:rPr>
          <w:rFonts w:cs="Arial"/>
        </w:rPr>
      </w:pPr>
      <w:r w:rsidRPr="00B358B2">
        <w:rPr>
          <w:rFonts w:cs="Arial"/>
        </w:rPr>
        <w:t xml:space="preserve">Many comments are relating to the </w:t>
      </w:r>
      <w:r w:rsidR="00A577A9">
        <w:rPr>
          <w:rFonts w:cs="Arial"/>
        </w:rPr>
        <w:t>National Minimum W</w:t>
      </w:r>
      <w:r w:rsidRPr="00B358B2">
        <w:rPr>
          <w:rFonts w:cs="Arial"/>
        </w:rPr>
        <w:t>age not covering the cost of living for Oxford</w:t>
      </w:r>
      <w:r w:rsidR="00B64204">
        <w:rPr>
          <w:rFonts w:cs="Arial"/>
        </w:rPr>
        <w:t xml:space="preserve">.  Comments are ranging from the Council </w:t>
      </w:r>
      <w:r w:rsidRPr="00B358B2">
        <w:rPr>
          <w:rFonts w:cs="Arial"/>
        </w:rPr>
        <w:t>need</w:t>
      </w:r>
      <w:r w:rsidR="00B64204">
        <w:rPr>
          <w:rFonts w:cs="Arial"/>
        </w:rPr>
        <w:t>s</w:t>
      </w:r>
      <w:r w:rsidRPr="00B358B2">
        <w:rPr>
          <w:rFonts w:cs="Arial"/>
        </w:rPr>
        <w:t xml:space="preserve"> to uplift to not penalise the increase in wages from the budget and other comments are the rise in inflation post Brexit.</w:t>
      </w:r>
      <w:r w:rsidR="00C327F0" w:rsidRPr="00B358B2">
        <w:rPr>
          <w:rFonts w:cs="Arial"/>
        </w:rPr>
        <w:t xml:space="preserve"> </w:t>
      </w:r>
    </w:p>
    <w:p w14:paraId="34B07B22" w14:textId="77777777" w:rsidR="00C327F0" w:rsidRPr="00B358B2" w:rsidRDefault="00C327F0" w:rsidP="00C327F0">
      <w:pPr>
        <w:pStyle w:val="ListParagraph"/>
        <w:numPr>
          <w:ilvl w:val="0"/>
          <w:numId w:val="40"/>
        </w:numPr>
        <w:tabs>
          <w:tab w:val="clear" w:pos="426"/>
        </w:tabs>
        <w:spacing w:after="0"/>
        <w:rPr>
          <w:rFonts w:cs="Arial"/>
        </w:rPr>
      </w:pPr>
      <w:r w:rsidRPr="00B358B2">
        <w:rPr>
          <w:rFonts w:cs="Arial"/>
        </w:rPr>
        <w:t>The</w:t>
      </w:r>
      <w:r w:rsidR="007D5089">
        <w:rPr>
          <w:rFonts w:cs="Arial"/>
        </w:rPr>
        <w:t>re</w:t>
      </w:r>
      <w:r w:rsidRPr="00B358B2">
        <w:rPr>
          <w:rFonts w:cs="Arial"/>
        </w:rPr>
        <w:t xml:space="preserve"> are many comments regarding to the Oxford Living Wage stating that they work locally and are not on this hourly rate or that the scheme assumes that people are in receipt of the higher hourly rate.</w:t>
      </w:r>
    </w:p>
    <w:p w14:paraId="71708E4E" w14:textId="77777777" w:rsidR="00F6293E" w:rsidRPr="00B358B2" w:rsidRDefault="00F6293E" w:rsidP="00C327F0">
      <w:pPr>
        <w:pStyle w:val="ListParagraph"/>
        <w:numPr>
          <w:ilvl w:val="0"/>
          <w:numId w:val="40"/>
        </w:numPr>
        <w:tabs>
          <w:tab w:val="clear" w:pos="426"/>
        </w:tabs>
        <w:spacing w:after="0"/>
        <w:rPr>
          <w:rFonts w:cs="Arial"/>
        </w:rPr>
      </w:pPr>
      <w:r w:rsidRPr="00B358B2">
        <w:rPr>
          <w:rFonts w:cs="Arial"/>
        </w:rPr>
        <w:t>People who are in privately rented accommodation are already paying higher living costs.</w:t>
      </w:r>
    </w:p>
    <w:p w14:paraId="06104711" w14:textId="77777777" w:rsidR="00F6293E" w:rsidRPr="00B358B2" w:rsidRDefault="00F6293E" w:rsidP="00F6293E">
      <w:pPr>
        <w:pStyle w:val="ListParagraph"/>
        <w:numPr>
          <w:ilvl w:val="0"/>
          <w:numId w:val="40"/>
        </w:numPr>
        <w:tabs>
          <w:tab w:val="clear" w:pos="426"/>
        </w:tabs>
        <w:spacing w:after="0"/>
        <w:rPr>
          <w:rFonts w:cs="Arial"/>
        </w:rPr>
      </w:pPr>
      <w:r w:rsidRPr="00B358B2">
        <w:rPr>
          <w:rFonts w:cs="Arial"/>
        </w:rPr>
        <w:t>Comments relate to disparity of wealthy residents to poor and that the wealthy should contribute towards the CTR scheme to help with lower income families.  There is a further comment asking if wealthy people could pay an additional amount in their CT charge to cover the increase cost in the CTR scheme to reduce the burden to the Council.</w:t>
      </w:r>
    </w:p>
    <w:p w14:paraId="39830D0D" w14:textId="77777777" w:rsidR="00F6293E" w:rsidRPr="00B358B2" w:rsidRDefault="00F6293E" w:rsidP="00F6293E">
      <w:pPr>
        <w:pStyle w:val="ListParagraph"/>
        <w:numPr>
          <w:ilvl w:val="0"/>
          <w:numId w:val="40"/>
        </w:numPr>
        <w:tabs>
          <w:tab w:val="clear" w:pos="426"/>
        </w:tabs>
        <w:spacing w:after="0"/>
        <w:rPr>
          <w:rFonts w:cs="Arial"/>
        </w:rPr>
      </w:pPr>
      <w:r w:rsidRPr="00B358B2">
        <w:rPr>
          <w:rFonts w:cs="Arial"/>
        </w:rPr>
        <w:t>People have noted that the current scheme works, so why change it and there are comments that they agree with the banded approach.</w:t>
      </w:r>
    </w:p>
    <w:p w14:paraId="73987633" w14:textId="77777777" w:rsidR="00F6293E" w:rsidRPr="00B358B2" w:rsidRDefault="00F6293E" w:rsidP="00F6293E">
      <w:pPr>
        <w:pStyle w:val="ListParagraph"/>
        <w:numPr>
          <w:ilvl w:val="0"/>
          <w:numId w:val="40"/>
        </w:numPr>
        <w:tabs>
          <w:tab w:val="clear" w:pos="426"/>
        </w:tabs>
        <w:spacing w:after="0"/>
        <w:rPr>
          <w:rFonts w:cs="Arial"/>
        </w:rPr>
      </w:pPr>
      <w:r w:rsidRPr="00B358B2">
        <w:rPr>
          <w:rFonts w:cs="Arial"/>
        </w:rPr>
        <w:t>There is a single comment that the council are not supportive and send out letters when they are behind with the instalments.  As this questionnaire is anonymous, we are unable to establish who this is, to make contact with them.</w:t>
      </w:r>
    </w:p>
    <w:p w14:paraId="5B3DEF6D" w14:textId="77777777" w:rsidR="006B1139" w:rsidRPr="00B358B2" w:rsidRDefault="00236F95" w:rsidP="00236F95">
      <w:pPr>
        <w:tabs>
          <w:tab w:val="left" w:pos="3430"/>
        </w:tabs>
        <w:autoSpaceDE w:val="0"/>
        <w:autoSpaceDN w:val="0"/>
        <w:adjustRightInd w:val="0"/>
        <w:spacing w:after="0"/>
        <w:rPr>
          <w:rFonts w:cs="Arial"/>
          <w:color w:val="auto"/>
        </w:rPr>
      </w:pPr>
      <w:r w:rsidRPr="00B358B2">
        <w:rPr>
          <w:rFonts w:cs="Arial"/>
          <w:color w:val="auto"/>
        </w:rPr>
        <w:tab/>
      </w:r>
    </w:p>
    <w:p w14:paraId="7216FDB7" w14:textId="77777777" w:rsidR="006B1139" w:rsidRPr="00B358B2" w:rsidRDefault="00644567" w:rsidP="00BC311D">
      <w:pPr>
        <w:autoSpaceDE w:val="0"/>
        <w:autoSpaceDN w:val="0"/>
        <w:adjustRightInd w:val="0"/>
        <w:spacing w:after="0"/>
        <w:ind w:firstLine="720"/>
        <w:rPr>
          <w:rFonts w:cs="Arial"/>
          <w:b/>
          <w:color w:val="auto"/>
        </w:rPr>
      </w:pPr>
      <w:r w:rsidRPr="00B358B2">
        <w:rPr>
          <w:rFonts w:cs="Arial"/>
          <w:b/>
          <w:color w:val="auto"/>
        </w:rPr>
        <w:t>Implementation of the Resp</w:t>
      </w:r>
      <w:r w:rsidR="006B1139" w:rsidRPr="00B358B2">
        <w:rPr>
          <w:rFonts w:cs="Arial"/>
          <w:b/>
          <w:color w:val="auto"/>
        </w:rPr>
        <w:t>onses</w:t>
      </w:r>
    </w:p>
    <w:p w14:paraId="77103C81" w14:textId="77777777" w:rsidR="006B1139" w:rsidRPr="00B358B2" w:rsidRDefault="006B1139" w:rsidP="00BC311D">
      <w:pPr>
        <w:autoSpaceDE w:val="0"/>
        <w:autoSpaceDN w:val="0"/>
        <w:adjustRightInd w:val="0"/>
        <w:spacing w:after="0"/>
        <w:ind w:firstLine="720"/>
        <w:rPr>
          <w:rFonts w:cs="Arial"/>
          <w:color w:val="auto"/>
          <w:highlight w:val="yellow"/>
        </w:rPr>
      </w:pPr>
    </w:p>
    <w:p w14:paraId="7D12EAF5" w14:textId="27B0BBAD" w:rsidR="00236F95" w:rsidRPr="00FD1632" w:rsidRDefault="001901BC" w:rsidP="00FD1632">
      <w:pPr>
        <w:ind w:left="360" w:firstLine="360"/>
        <w:rPr>
          <w:rFonts w:cs="Arial"/>
          <w:b/>
        </w:rPr>
      </w:pPr>
      <w:r w:rsidRPr="00B358B2">
        <w:rPr>
          <w:rFonts w:cs="Arial"/>
          <w:b/>
        </w:rPr>
        <w:t>Income Banded Scheme</w:t>
      </w:r>
    </w:p>
    <w:p w14:paraId="04ECAF34" w14:textId="77777777" w:rsidR="00FD1632" w:rsidRDefault="009B13EE" w:rsidP="009B13EE">
      <w:pPr>
        <w:pStyle w:val="CommentText"/>
        <w:numPr>
          <w:ilvl w:val="0"/>
          <w:numId w:val="32"/>
        </w:numPr>
        <w:rPr>
          <w:sz w:val="24"/>
          <w:szCs w:val="24"/>
        </w:rPr>
      </w:pPr>
      <w:r>
        <w:rPr>
          <w:sz w:val="24"/>
          <w:szCs w:val="24"/>
        </w:rPr>
        <w:t>T</w:t>
      </w:r>
      <w:r w:rsidRPr="009B13EE">
        <w:rPr>
          <w:sz w:val="24"/>
          <w:szCs w:val="24"/>
        </w:rPr>
        <w:t>o co</w:t>
      </w:r>
      <w:r>
        <w:rPr>
          <w:sz w:val="24"/>
          <w:szCs w:val="24"/>
        </w:rPr>
        <w:t>ntinue with the same methodolog</w:t>
      </w:r>
      <w:r w:rsidRPr="009B13EE">
        <w:rPr>
          <w:sz w:val="24"/>
          <w:szCs w:val="24"/>
        </w:rPr>
        <w:t xml:space="preserve">y for updating income bands for 2022-23 for assessing the entitlement for the percentage of council tax reduction. </w:t>
      </w:r>
    </w:p>
    <w:p w14:paraId="59CCA5A6" w14:textId="070A0D66" w:rsidR="009B13EE" w:rsidRPr="009B13EE" w:rsidRDefault="009B13EE" w:rsidP="009B13EE">
      <w:pPr>
        <w:pStyle w:val="CommentText"/>
        <w:numPr>
          <w:ilvl w:val="0"/>
          <w:numId w:val="32"/>
        </w:numPr>
        <w:rPr>
          <w:sz w:val="24"/>
          <w:szCs w:val="24"/>
        </w:rPr>
      </w:pPr>
      <w:r w:rsidRPr="009B13EE">
        <w:rPr>
          <w:sz w:val="24"/>
          <w:szCs w:val="24"/>
        </w:rPr>
        <w:t xml:space="preserve">To apply the CPI rate for the uplift </w:t>
      </w:r>
      <w:r w:rsidR="00FD1632">
        <w:rPr>
          <w:sz w:val="24"/>
          <w:szCs w:val="24"/>
        </w:rPr>
        <w:t xml:space="preserve">to Band 5 </w:t>
      </w:r>
      <w:r w:rsidRPr="009B13EE">
        <w:rPr>
          <w:sz w:val="24"/>
          <w:szCs w:val="24"/>
        </w:rPr>
        <w:t>which as at September 2021 was 3.1%</w:t>
      </w:r>
    </w:p>
    <w:p w14:paraId="1AFBB9D5" w14:textId="77777777" w:rsidR="00236F95" w:rsidRPr="00B358B2" w:rsidRDefault="00236F95" w:rsidP="00236F95">
      <w:pPr>
        <w:tabs>
          <w:tab w:val="left" w:pos="426"/>
        </w:tabs>
        <w:spacing w:after="0"/>
        <w:contextualSpacing/>
        <w:rPr>
          <w:rFonts w:eastAsiaTheme="minorHAnsi" w:cs="Arial"/>
          <w:color w:val="auto"/>
          <w:lang w:eastAsia="en-US"/>
        </w:rPr>
      </w:pPr>
    </w:p>
    <w:p w14:paraId="4614E2C4" w14:textId="77777777" w:rsidR="00236F95" w:rsidRPr="00FD1632" w:rsidRDefault="009B13EE" w:rsidP="001901BC">
      <w:pPr>
        <w:tabs>
          <w:tab w:val="left" w:pos="426"/>
        </w:tabs>
        <w:spacing w:after="0"/>
        <w:ind w:left="720"/>
        <w:contextualSpacing/>
        <w:rPr>
          <w:rFonts w:eastAsiaTheme="minorHAnsi" w:cs="Arial"/>
          <w:color w:val="auto"/>
          <w:sz w:val="20"/>
          <w:szCs w:val="20"/>
          <w:lang w:eastAsia="en-US"/>
        </w:rPr>
      </w:pPr>
      <w:r w:rsidRPr="00FD1632">
        <w:rPr>
          <w:rFonts w:eastAsiaTheme="minorHAnsi" w:cs="Arial"/>
          <w:color w:val="auto"/>
          <w:sz w:val="20"/>
          <w:szCs w:val="20"/>
          <w:lang w:eastAsia="en-US"/>
        </w:rPr>
        <w:t>Table 1</w:t>
      </w:r>
      <w:r w:rsidR="00211844" w:rsidRPr="00FD1632">
        <w:rPr>
          <w:rFonts w:eastAsiaTheme="minorHAnsi" w:cs="Arial"/>
          <w:color w:val="auto"/>
          <w:sz w:val="20"/>
          <w:szCs w:val="20"/>
          <w:lang w:eastAsia="en-US"/>
        </w:rPr>
        <w:t>- 2022 proposed bands</w:t>
      </w:r>
    </w:p>
    <w:tbl>
      <w:tblPr>
        <w:tblStyle w:val="TableGrid211"/>
        <w:tblW w:w="8582" w:type="dxa"/>
        <w:tblInd w:w="769" w:type="dxa"/>
        <w:tblLook w:val="04A0" w:firstRow="1" w:lastRow="0" w:firstColumn="1" w:lastColumn="0" w:noHBand="0" w:noVBand="1"/>
      </w:tblPr>
      <w:tblGrid>
        <w:gridCol w:w="1095"/>
        <w:gridCol w:w="2809"/>
        <w:gridCol w:w="2410"/>
        <w:gridCol w:w="2268"/>
      </w:tblGrid>
      <w:tr w:rsidR="00236F95" w:rsidRPr="00FD1632" w14:paraId="6B90ED48" w14:textId="77777777" w:rsidTr="00127526">
        <w:tc>
          <w:tcPr>
            <w:tcW w:w="1095" w:type="dxa"/>
          </w:tcPr>
          <w:p w14:paraId="2A4C507F" w14:textId="77777777" w:rsidR="00236F95" w:rsidRPr="00FD1632" w:rsidRDefault="00236F95" w:rsidP="00127526">
            <w:pPr>
              <w:rPr>
                <w:b/>
                <w:color w:val="auto"/>
                <w:sz w:val="20"/>
                <w:szCs w:val="20"/>
              </w:rPr>
            </w:pPr>
            <w:r w:rsidRPr="00FD1632">
              <w:rPr>
                <w:b/>
                <w:color w:val="auto"/>
                <w:sz w:val="20"/>
                <w:szCs w:val="20"/>
              </w:rPr>
              <w:t>Band</w:t>
            </w:r>
          </w:p>
        </w:tc>
        <w:tc>
          <w:tcPr>
            <w:tcW w:w="2809" w:type="dxa"/>
          </w:tcPr>
          <w:p w14:paraId="4CB8E311" w14:textId="77777777" w:rsidR="00236F95" w:rsidRPr="00FD1632" w:rsidRDefault="00236F95" w:rsidP="00127526">
            <w:pPr>
              <w:rPr>
                <w:b/>
                <w:color w:val="auto"/>
                <w:sz w:val="20"/>
                <w:szCs w:val="20"/>
              </w:rPr>
            </w:pPr>
            <w:r w:rsidRPr="00FD1632">
              <w:rPr>
                <w:b/>
                <w:color w:val="auto"/>
                <w:sz w:val="20"/>
                <w:szCs w:val="20"/>
              </w:rPr>
              <w:t>Weekly Income</w:t>
            </w:r>
          </w:p>
        </w:tc>
        <w:tc>
          <w:tcPr>
            <w:tcW w:w="2410" w:type="dxa"/>
          </w:tcPr>
          <w:p w14:paraId="6BEBCF3A" w14:textId="77777777" w:rsidR="00236F95" w:rsidRPr="00FD1632" w:rsidRDefault="00236F95" w:rsidP="00127526">
            <w:pPr>
              <w:rPr>
                <w:b/>
                <w:color w:val="auto"/>
                <w:sz w:val="20"/>
                <w:szCs w:val="20"/>
              </w:rPr>
            </w:pPr>
            <w:r w:rsidRPr="00FD1632">
              <w:rPr>
                <w:b/>
                <w:color w:val="auto"/>
                <w:sz w:val="20"/>
                <w:szCs w:val="20"/>
              </w:rPr>
              <w:t>Discount received</w:t>
            </w:r>
          </w:p>
        </w:tc>
        <w:tc>
          <w:tcPr>
            <w:tcW w:w="2268" w:type="dxa"/>
          </w:tcPr>
          <w:p w14:paraId="5079CBEC" w14:textId="77777777" w:rsidR="00236F95" w:rsidRPr="00FD1632" w:rsidRDefault="00236F95" w:rsidP="00127526">
            <w:pPr>
              <w:rPr>
                <w:b/>
                <w:color w:val="auto"/>
                <w:sz w:val="20"/>
                <w:szCs w:val="20"/>
              </w:rPr>
            </w:pPr>
            <w:r w:rsidRPr="00FD1632">
              <w:rPr>
                <w:b/>
                <w:color w:val="auto"/>
                <w:sz w:val="20"/>
                <w:szCs w:val="20"/>
              </w:rPr>
              <w:t xml:space="preserve">No of </w:t>
            </w:r>
            <w:r w:rsidR="0073753B" w:rsidRPr="00FD1632">
              <w:rPr>
                <w:b/>
                <w:color w:val="auto"/>
                <w:sz w:val="20"/>
                <w:szCs w:val="20"/>
              </w:rPr>
              <w:t xml:space="preserve">working age </w:t>
            </w:r>
            <w:r w:rsidRPr="00FD1632">
              <w:rPr>
                <w:b/>
                <w:color w:val="auto"/>
                <w:sz w:val="20"/>
                <w:szCs w:val="20"/>
              </w:rPr>
              <w:t>claimants</w:t>
            </w:r>
            <w:r w:rsidR="005E2AAC" w:rsidRPr="00FD1632">
              <w:rPr>
                <w:b/>
                <w:color w:val="auto"/>
                <w:sz w:val="20"/>
                <w:szCs w:val="20"/>
              </w:rPr>
              <w:t xml:space="preserve"> at Sept 2021</w:t>
            </w:r>
          </w:p>
        </w:tc>
      </w:tr>
      <w:tr w:rsidR="00236F95" w:rsidRPr="00FD1632" w14:paraId="479E671A" w14:textId="77777777" w:rsidTr="00127526">
        <w:tc>
          <w:tcPr>
            <w:tcW w:w="1095" w:type="dxa"/>
          </w:tcPr>
          <w:p w14:paraId="31EBC71D" w14:textId="77777777" w:rsidR="00236F95" w:rsidRPr="00FD1632" w:rsidRDefault="00236F95" w:rsidP="00127526">
            <w:pPr>
              <w:spacing w:after="120"/>
              <w:rPr>
                <w:color w:val="auto"/>
                <w:sz w:val="20"/>
                <w:szCs w:val="20"/>
              </w:rPr>
            </w:pPr>
            <w:r w:rsidRPr="00FD1632">
              <w:rPr>
                <w:sz w:val="20"/>
                <w:szCs w:val="20"/>
              </w:rPr>
              <w:t>1</w:t>
            </w:r>
          </w:p>
        </w:tc>
        <w:tc>
          <w:tcPr>
            <w:tcW w:w="2809" w:type="dxa"/>
          </w:tcPr>
          <w:p w14:paraId="3D426300" w14:textId="77777777" w:rsidR="00236F95" w:rsidRPr="00FD1632" w:rsidRDefault="005E2AAC" w:rsidP="00127526">
            <w:pPr>
              <w:spacing w:after="120"/>
              <w:rPr>
                <w:sz w:val="20"/>
                <w:szCs w:val="20"/>
              </w:rPr>
            </w:pPr>
            <w:r w:rsidRPr="00FD1632">
              <w:rPr>
                <w:sz w:val="20"/>
                <w:szCs w:val="20"/>
              </w:rPr>
              <w:t>£0 - £152.00</w:t>
            </w:r>
          </w:p>
        </w:tc>
        <w:tc>
          <w:tcPr>
            <w:tcW w:w="2410" w:type="dxa"/>
          </w:tcPr>
          <w:p w14:paraId="36DCCB12" w14:textId="77777777" w:rsidR="00236F95" w:rsidRPr="00FD1632" w:rsidRDefault="00236F95" w:rsidP="00127526">
            <w:pPr>
              <w:spacing w:after="120"/>
              <w:rPr>
                <w:sz w:val="20"/>
                <w:szCs w:val="20"/>
              </w:rPr>
            </w:pPr>
            <w:r w:rsidRPr="00FD1632">
              <w:rPr>
                <w:sz w:val="20"/>
                <w:szCs w:val="20"/>
              </w:rPr>
              <w:t>100%</w:t>
            </w:r>
          </w:p>
        </w:tc>
        <w:tc>
          <w:tcPr>
            <w:tcW w:w="2268" w:type="dxa"/>
            <w:vAlign w:val="bottom"/>
          </w:tcPr>
          <w:p w14:paraId="4F6743BC" w14:textId="77777777" w:rsidR="00236F95" w:rsidRPr="00FD1632" w:rsidRDefault="00236F95" w:rsidP="00127526">
            <w:pPr>
              <w:spacing w:after="120"/>
              <w:jc w:val="right"/>
              <w:rPr>
                <w:bCs/>
                <w:sz w:val="20"/>
                <w:szCs w:val="20"/>
              </w:rPr>
            </w:pPr>
            <w:r w:rsidRPr="00FD1632">
              <w:rPr>
                <w:bCs/>
                <w:sz w:val="20"/>
                <w:szCs w:val="20"/>
              </w:rPr>
              <w:t>793</w:t>
            </w:r>
          </w:p>
        </w:tc>
      </w:tr>
      <w:tr w:rsidR="00236F95" w:rsidRPr="00FD1632" w14:paraId="454B84D6" w14:textId="77777777" w:rsidTr="00127526">
        <w:tc>
          <w:tcPr>
            <w:tcW w:w="1095" w:type="dxa"/>
          </w:tcPr>
          <w:p w14:paraId="22E62830" w14:textId="77777777" w:rsidR="00236F95" w:rsidRPr="00FD1632" w:rsidRDefault="00236F95" w:rsidP="00127526">
            <w:pPr>
              <w:spacing w:after="120"/>
              <w:rPr>
                <w:sz w:val="20"/>
                <w:szCs w:val="20"/>
              </w:rPr>
            </w:pPr>
            <w:r w:rsidRPr="00FD1632">
              <w:rPr>
                <w:sz w:val="20"/>
                <w:szCs w:val="20"/>
              </w:rPr>
              <w:t>2</w:t>
            </w:r>
          </w:p>
        </w:tc>
        <w:tc>
          <w:tcPr>
            <w:tcW w:w="2809" w:type="dxa"/>
          </w:tcPr>
          <w:p w14:paraId="72A087CF" w14:textId="77777777" w:rsidR="00236F95" w:rsidRPr="00FD1632" w:rsidRDefault="005E2AAC" w:rsidP="00127526">
            <w:pPr>
              <w:spacing w:after="120"/>
              <w:rPr>
                <w:sz w:val="20"/>
                <w:szCs w:val="20"/>
              </w:rPr>
            </w:pPr>
            <w:r w:rsidRPr="00FD1632">
              <w:rPr>
                <w:sz w:val="20"/>
                <w:szCs w:val="20"/>
              </w:rPr>
              <w:t>£152.01 - £228.00</w:t>
            </w:r>
          </w:p>
        </w:tc>
        <w:tc>
          <w:tcPr>
            <w:tcW w:w="2410" w:type="dxa"/>
          </w:tcPr>
          <w:p w14:paraId="13871041" w14:textId="77777777" w:rsidR="00236F95" w:rsidRPr="00FD1632" w:rsidRDefault="00236F95" w:rsidP="00127526">
            <w:pPr>
              <w:spacing w:after="120"/>
              <w:rPr>
                <w:sz w:val="20"/>
                <w:szCs w:val="20"/>
              </w:rPr>
            </w:pPr>
            <w:r w:rsidRPr="00FD1632">
              <w:rPr>
                <w:sz w:val="20"/>
                <w:szCs w:val="20"/>
              </w:rPr>
              <w:t>75%</w:t>
            </w:r>
          </w:p>
        </w:tc>
        <w:tc>
          <w:tcPr>
            <w:tcW w:w="2268" w:type="dxa"/>
            <w:vAlign w:val="bottom"/>
          </w:tcPr>
          <w:p w14:paraId="3F87516C" w14:textId="77777777" w:rsidR="00236F95" w:rsidRPr="00FD1632" w:rsidRDefault="00236F95" w:rsidP="00127526">
            <w:pPr>
              <w:spacing w:after="120"/>
              <w:jc w:val="right"/>
              <w:rPr>
                <w:bCs/>
                <w:sz w:val="20"/>
                <w:szCs w:val="20"/>
              </w:rPr>
            </w:pPr>
            <w:r w:rsidRPr="00FD1632">
              <w:rPr>
                <w:bCs/>
                <w:sz w:val="20"/>
                <w:szCs w:val="20"/>
              </w:rPr>
              <w:t>734</w:t>
            </w:r>
          </w:p>
        </w:tc>
      </w:tr>
      <w:tr w:rsidR="00236F95" w:rsidRPr="00FD1632" w14:paraId="161688F3" w14:textId="77777777" w:rsidTr="00127526">
        <w:tc>
          <w:tcPr>
            <w:tcW w:w="1095" w:type="dxa"/>
          </w:tcPr>
          <w:p w14:paraId="7D33CF18" w14:textId="77777777" w:rsidR="00236F95" w:rsidRPr="00FD1632" w:rsidRDefault="00236F95" w:rsidP="00127526">
            <w:pPr>
              <w:spacing w:after="120"/>
              <w:rPr>
                <w:sz w:val="20"/>
                <w:szCs w:val="20"/>
              </w:rPr>
            </w:pPr>
            <w:r w:rsidRPr="00FD1632">
              <w:rPr>
                <w:sz w:val="20"/>
                <w:szCs w:val="20"/>
              </w:rPr>
              <w:t>3</w:t>
            </w:r>
          </w:p>
        </w:tc>
        <w:tc>
          <w:tcPr>
            <w:tcW w:w="2809" w:type="dxa"/>
          </w:tcPr>
          <w:p w14:paraId="479CC541" w14:textId="77777777" w:rsidR="00236F95" w:rsidRPr="00FD1632" w:rsidRDefault="005E2AAC" w:rsidP="00127526">
            <w:pPr>
              <w:spacing w:after="120"/>
              <w:rPr>
                <w:sz w:val="20"/>
                <w:szCs w:val="20"/>
              </w:rPr>
            </w:pPr>
            <w:r w:rsidRPr="00FD1632">
              <w:rPr>
                <w:sz w:val="20"/>
                <w:szCs w:val="20"/>
              </w:rPr>
              <w:t>£228.01 - £315.00</w:t>
            </w:r>
          </w:p>
        </w:tc>
        <w:tc>
          <w:tcPr>
            <w:tcW w:w="2410" w:type="dxa"/>
          </w:tcPr>
          <w:p w14:paraId="64481A10" w14:textId="77777777" w:rsidR="00236F95" w:rsidRPr="00FD1632" w:rsidRDefault="00236F95" w:rsidP="00127526">
            <w:pPr>
              <w:spacing w:after="120"/>
              <w:rPr>
                <w:sz w:val="20"/>
                <w:szCs w:val="20"/>
              </w:rPr>
            </w:pPr>
            <w:r w:rsidRPr="00FD1632">
              <w:rPr>
                <w:sz w:val="20"/>
                <w:szCs w:val="20"/>
              </w:rPr>
              <w:t>50%</w:t>
            </w:r>
          </w:p>
        </w:tc>
        <w:tc>
          <w:tcPr>
            <w:tcW w:w="2268" w:type="dxa"/>
            <w:vAlign w:val="bottom"/>
          </w:tcPr>
          <w:p w14:paraId="3D1CD4A5" w14:textId="77777777" w:rsidR="00236F95" w:rsidRPr="00FD1632" w:rsidRDefault="00236F95" w:rsidP="00127526">
            <w:pPr>
              <w:spacing w:after="120"/>
              <w:jc w:val="right"/>
              <w:rPr>
                <w:bCs/>
                <w:sz w:val="20"/>
                <w:szCs w:val="20"/>
              </w:rPr>
            </w:pPr>
            <w:r w:rsidRPr="00FD1632">
              <w:rPr>
                <w:bCs/>
                <w:sz w:val="20"/>
                <w:szCs w:val="20"/>
              </w:rPr>
              <w:t>1,350</w:t>
            </w:r>
          </w:p>
        </w:tc>
      </w:tr>
      <w:tr w:rsidR="00236F95" w:rsidRPr="00FD1632" w14:paraId="48DC0393" w14:textId="77777777" w:rsidTr="00127526">
        <w:tc>
          <w:tcPr>
            <w:tcW w:w="1095" w:type="dxa"/>
          </w:tcPr>
          <w:p w14:paraId="79907EEE" w14:textId="77777777" w:rsidR="00236F95" w:rsidRPr="00FD1632" w:rsidRDefault="00236F95" w:rsidP="00127526">
            <w:pPr>
              <w:spacing w:after="120"/>
              <w:rPr>
                <w:sz w:val="20"/>
                <w:szCs w:val="20"/>
              </w:rPr>
            </w:pPr>
            <w:r w:rsidRPr="00FD1632">
              <w:rPr>
                <w:sz w:val="20"/>
                <w:szCs w:val="20"/>
              </w:rPr>
              <w:lastRenderedPageBreak/>
              <w:t>4</w:t>
            </w:r>
          </w:p>
        </w:tc>
        <w:tc>
          <w:tcPr>
            <w:tcW w:w="2809" w:type="dxa"/>
          </w:tcPr>
          <w:p w14:paraId="37627A8E" w14:textId="77777777" w:rsidR="00236F95" w:rsidRPr="00FD1632" w:rsidRDefault="005E2AAC" w:rsidP="00127526">
            <w:pPr>
              <w:spacing w:after="120"/>
              <w:rPr>
                <w:sz w:val="20"/>
                <w:szCs w:val="20"/>
              </w:rPr>
            </w:pPr>
            <w:r w:rsidRPr="00FD1632">
              <w:rPr>
                <w:sz w:val="20"/>
                <w:szCs w:val="20"/>
              </w:rPr>
              <w:t>£315.01 - £396.99</w:t>
            </w:r>
          </w:p>
        </w:tc>
        <w:tc>
          <w:tcPr>
            <w:tcW w:w="2410" w:type="dxa"/>
          </w:tcPr>
          <w:p w14:paraId="58046A6F" w14:textId="77777777" w:rsidR="00236F95" w:rsidRPr="00FD1632" w:rsidRDefault="00236F95" w:rsidP="00127526">
            <w:pPr>
              <w:spacing w:after="120"/>
              <w:rPr>
                <w:sz w:val="20"/>
                <w:szCs w:val="20"/>
              </w:rPr>
            </w:pPr>
            <w:r w:rsidRPr="00FD1632">
              <w:rPr>
                <w:sz w:val="20"/>
                <w:szCs w:val="20"/>
              </w:rPr>
              <w:t>25%</w:t>
            </w:r>
          </w:p>
        </w:tc>
        <w:tc>
          <w:tcPr>
            <w:tcW w:w="2268" w:type="dxa"/>
            <w:vAlign w:val="bottom"/>
          </w:tcPr>
          <w:p w14:paraId="3C73FDCA" w14:textId="77777777" w:rsidR="00236F95" w:rsidRPr="00FD1632" w:rsidRDefault="00236F95" w:rsidP="00127526">
            <w:pPr>
              <w:spacing w:after="120"/>
              <w:jc w:val="right"/>
              <w:rPr>
                <w:bCs/>
                <w:sz w:val="20"/>
                <w:szCs w:val="20"/>
              </w:rPr>
            </w:pPr>
            <w:r w:rsidRPr="00FD1632">
              <w:rPr>
                <w:bCs/>
                <w:sz w:val="20"/>
                <w:szCs w:val="20"/>
              </w:rPr>
              <w:t>1,197</w:t>
            </w:r>
          </w:p>
        </w:tc>
      </w:tr>
      <w:tr w:rsidR="00236F95" w:rsidRPr="00FD1632" w14:paraId="6E133993" w14:textId="77777777" w:rsidTr="00127526">
        <w:tc>
          <w:tcPr>
            <w:tcW w:w="1095" w:type="dxa"/>
          </w:tcPr>
          <w:p w14:paraId="3B820C66" w14:textId="77777777" w:rsidR="00236F95" w:rsidRPr="00FD1632" w:rsidRDefault="00236F95" w:rsidP="00127526">
            <w:pPr>
              <w:spacing w:after="120"/>
              <w:rPr>
                <w:sz w:val="20"/>
                <w:szCs w:val="20"/>
              </w:rPr>
            </w:pPr>
            <w:r w:rsidRPr="00FD1632">
              <w:rPr>
                <w:sz w:val="20"/>
                <w:szCs w:val="20"/>
              </w:rPr>
              <w:t>5</w:t>
            </w:r>
          </w:p>
        </w:tc>
        <w:tc>
          <w:tcPr>
            <w:tcW w:w="2809" w:type="dxa"/>
          </w:tcPr>
          <w:p w14:paraId="07227169" w14:textId="77777777" w:rsidR="00236F95" w:rsidRPr="00FD1632" w:rsidRDefault="005E2AAC" w:rsidP="00127526">
            <w:pPr>
              <w:spacing w:after="120"/>
              <w:rPr>
                <w:sz w:val="20"/>
                <w:szCs w:val="20"/>
              </w:rPr>
            </w:pPr>
            <w:r w:rsidRPr="00FD1632">
              <w:rPr>
                <w:sz w:val="20"/>
                <w:szCs w:val="20"/>
              </w:rPr>
              <w:t>£397</w:t>
            </w:r>
            <w:r w:rsidR="00236F95" w:rsidRPr="00FD1632">
              <w:rPr>
                <w:sz w:val="20"/>
                <w:szCs w:val="20"/>
              </w:rPr>
              <w:t xml:space="preserve"> and above</w:t>
            </w:r>
          </w:p>
        </w:tc>
        <w:tc>
          <w:tcPr>
            <w:tcW w:w="2410" w:type="dxa"/>
          </w:tcPr>
          <w:p w14:paraId="4F658024" w14:textId="77777777" w:rsidR="00236F95" w:rsidRPr="00FD1632" w:rsidRDefault="00236F95" w:rsidP="00127526">
            <w:pPr>
              <w:spacing w:after="120"/>
              <w:rPr>
                <w:sz w:val="20"/>
                <w:szCs w:val="20"/>
              </w:rPr>
            </w:pPr>
            <w:r w:rsidRPr="00FD1632">
              <w:rPr>
                <w:sz w:val="20"/>
                <w:szCs w:val="20"/>
              </w:rPr>
              <w:t>0%</w:t>
            </w:r>
          </w:p>
        </w:tc>
        <w:tc>
          <w:tcPr>
            <w:tcW w:w="2268" w:type="dxa"/>
            <w:vAlign w:val="bottom"/>
          </w:tcPr>
          <w:p w14:paraId="03F1CB5C" w14:textId="77777777" w:rsidR="00236F95" w:rsidRPr="00FD1632" w:rsidRDefault="00236F95" w:rsidP="00127526">
            <w:pPr>
              <w:spacing w:after="120"/>
              <w:jc w:val="right"/>
              <w:rPr>
                <w:bCs/>
                <w:sz w:val="20"/>
                <w:szCs w:val="20"/>
              </w:rPr>
            </w:pPr>
            <w:r w:rsidRPr="00FD1632">
              <w:rPr>
                <w:bCs/>
                <w:sz w:val="20"/>
                <w:szCs w:val="20"/>
              </w:rPr>
              <w:t>1,912</w:t>
            </w:r>
          </w:p>
        </w:tc>
      </w:tr>
    </w:tbl>
    <w:p w14:paraId="4A3A8FED" w14:textId="77777777" w:rsidR="001901BC" w:rsidRDefault="001901BC" w:rsidP="00FD1632">
      <w:pPr>
        <w:spacing w:after="0"/>
        <w:ind w:firstLine="720"/>
        <w:contextualSpacing/>
        <w:rPr>
          <w:rFonts w:eastAsiaTheme="minorHAnsi" w:cs="Arial"/>
          <w:color w:val="auto"/>
          <w:lang w:eastAsia="en-US"/>
        </w:rPr>
      </w:pPr>
      <w:r w:rsidRPr="00B358B2">
        <w:rPr>
          <w:rFonts w:eastAsiaTheme="minorHAnsi" w:cs="Arial"/>
          <w:color w:val="auto"/>
          <w:lang w:eastAsia="en-US"/>
        </w:rPr>
        <w:t xml:space="preserve">The rationale for the </w:t>
      </w:r>
      <w:r w:rsidR="008B39F1">
        <w:rPr>
          <w:rFonts w:eastAsiaTheme="minorHAnsi" w:cs="Arial"/>
          <w:color w:val="auto"/>
          <w:lang w:eastAsia="en-US"/>
        </w:rPr>
        <w:t xml:space="preserve">weekly income </w:t>
      </w:r>
      <w:r w:rsidRPr="00B358B2">
        <w:rPr>
          <w:rFonts w:eastAsiaTheme="minorHAnsi" w:cs="Arial"/>
          <w:color w:val="auto"/>
          <w:lang w:eastAsia="en-US"/>
        </w:rPr>
        <w:t>figures above is as follows:</w:t>
      </w:r>
    </w:p>
    <w:p w14:paraId="74D13878" w14:textId="77777777" w:rsidR="00FD1632" w:rsidRPr="00B358B2" w:rsidRDefault="00FD1632" w:rsidP="00FD1632">
      <w:pPr>
        <w:spacing w:after="0"/>
        <w:ind w:firstLine="720"/>
        <w:contextualSpacing/>
        <w:rPr>
          <w:rFonts w:eastAsiaTheme="minorHAnsi" w:cs="Arial"/>
          <w:color w:val="auto"/>
          <w:lang w:eastAsia="en-US"/>
        </w:rPr>
      </w:pPr>
    </w:p>
    <w:p w14:paraId="43B040C1" w14:textId="4DED9438" w:rsidR="001901BC" w:rsidRPr="00B358B2" w:rsidRDefault="001901BC" w:rsidP="00BC1E04">
      <w:pPr>
        <w:spacing w:after="0"/>
        <w:ind w:left="720"/>
        <w:contextualSpacing/>
        <w:rPr>
          <w:rFonts w:eastAsiaTheme="minorHAnsi" w:cs="Arial"/>
          <w:color w:val="auto"/>
          <w:lang w:eastAsia="en-US"/>
        </w:rPr>
      </w:pPr>
      <w:r w:rsidRPr="00B358B2">
        <w:rPr>
          <w:rFonts w:eastAsiaTheme="minorHAnsi" w:cs="Arial"/>
          <w:color w:val="auto"/>
          <w:lang w:eastAsia="en-US"/>
        </w:rPr>
        <w:t>Band</w:t>
      </w:r>
      <w:r w:rsidR="0073753B">
        <w:rPr>
          <w:rFonts w:eastAsiaTheme="minorHAnsi" w:cs="Arial"/>
          <w:color w:val="auto"/>
          <w:lang w:eastAsia="en-US"/>
        </w:rPr>
        <w:t xml:space="preserve"> 1</w:t>
      </w:r>
      <w:r w:rsidRPr="00B358B2">
        <w:rPr>
          <w:rFonts w:eastAsiaTheme="minorHAnsi" w:cs="Arial"/>
          <w:color w:val="auto"/>
          <w:lang w:eastAsia="en-US"/>
        </w:rPr>
        <w:t xml:space="preserve"> is </w:t>
      </w:r>
      <w:r w:rsidR="008B39F1">
        <w:rPr>
          <w:rFonts w:eastAsiaTheme="minorHAnsi" w:cs="Arial"/>
          <w:color w:val="auto"/>
          <w:lang w:eastAsia="en-US"/>
        </w:rPr>
        <w:t xml:space="preserve">equivalent to </w:t>
      </w:r>
      <w:r w:rsidRPr="00B358B2">
        <w:rPr>
          <w:rFonts w:eastAsiaTheme="minorHAnsi" w:cs="Arial"/>
          <w:color w:val="auto"/>
          <w:lang w:eastAsia="en-US"/>
        </w:rPr>
        <w:t>16 hours on the National Minimum Wage (NMW £9.50</w:t>
      </w:r>
      <w:r w:rsidR="00EF0B74">
        <w:rPr>
          <w:rFonts w:eastAsiaTheme="minorHAnsi" w:cs="Arial"/>
          <w:color w:val="auto"/>
          <w:lang w:eastAsia="en-US"/>
        </w:rPr>
        <w:t xml:space="preserve"> per hour</w:t>
      </w:r>
      <w:r w:rsidR="00AE663B">
        <w:rPr>
          <w:rFonts w:eastAsiaTheme="minorHAnsi" w:cs="Arial"/>
          <w:color w:val="auto"/>
          <w:lang w:eastAsia="en-US"/>
        </w:rPr>
        <w:t xml:space="preserve"> from April 2022</w:t>
      </w:r>
      <w:r w:rsidRPr="00B358B2">
        <w:rPr>
          <w:rFonts w:eastAsiaTheme="minorHAnsi" w:cs="Arial"/>
          <w:color w:val="auto"/>
          <w:lang w:eastAsia="en-US"/>
        </w:rPr>
        <w:t>) rounded upwards</w:t>
      </w:r>
    </w:p>
    <w:p w14:paraId="5BB0F4CB" w14:textId="77777777" w:rsidR="001901BC" w:rsidRPr="00B358B2" w:rsidRDefault="0073753B" w:rsidP="00BC1E04">
      <w:pPr>
        <w:spacing w:after="0"/>
        <w:ind w:left="720"/>
        <w:contextualSpacing/>
        <w:rPr>
          <w:rFonts w:eastAsiaTheme="minorHAnsi" w:cs="Arial"/>
          <w:color w:val="auto"/>
          <w:lang w:eastAsia="en-US"/>
        </w:rPr>
      </w:pPr>
      <w:r>
        <w:rPr>
          <w:rFonts w:eastAsiaTheme="minorHAnsi" w:cs="Arial"/>
          <w:color w:val="auto"/>
          <w:lang w:eastAsia="en-US"/>
        </w:rPr>
        <w:t>Band 2</w:t>
      </w:r>
      <w:r w:rsidR="001901BC" w:rsidRPr="00B358B2">
        <w:rPr>
          <w:rFonts w:eastAsiaTheme="minorHAnsi" w:cs="Arial"/>
          <w:color w:val="auto"/>
          <w:lang w:eastAsia="en-US"/>
        </w:rPr>
        <w:t xml:space="preserve"> is </w:t>
      </w:r>
      <w:r w:rsidR="008B39F1">
        <w:rPr>
          <w:rFonts w:eastAsiaTheme="minorHAnsi" w:cs="Arial"/>
          <w:color w:val="auto"/>
          <w:lang w:eastAsia="en-US"/>
        </w:rPr>
        <w:t xml:space="preserve">equivalent to </w:t>
      </w:r>
      <w:r w:rsidR="001901BC" w:rsidRPr="00B358B2">
        <w:rPr>
          <w:rFonts w:eastAsiaTheme="minorHAnsi" w:cs="Arial"/>
          <w:color w:val="auto"/>
          <w:lang w:eastAsia="en-US"/>
        </w:rPr>
        <w:t>24 hours on the NMW rounded upwards</w:t>
      </w:r>
    </w:p>
    <w:p w14:paraId="2EABF0EE" w14:textId="3768A0A1" w:rsidR="00D64EF0" w:rsidRPr="00B358B2" w:rsidRDefault="0073753B" w:rsidP="00BC1E04">
      <w:pPr>
        <w:spacing w:after="0"/>
        <w:ind w:left="720"/>
        <w:contextualSpacing/>
        <w:rPr>
          <w:rFonts w:eastAsiaTheme="minorHAnsi" w:cs="Arial"/>
          <w:color w:val="auto"/>
          <w:lang w:eastAsia="en-US"/>
        </w:rPr>
      </w:pPr>
      <w:r>
        <w:rPr>
          <w:rFonts w:eastAsiaTheme="minorHAnsi" w:cs="Arial"/>
          <w:color w:val="auto"/>
          <w:lang w:eastAsia="en-US"/>
        </w:rPr>
        <w:t>Band 3</w:t>
      </w:r>
      <w:r w:rsidR="001901BC" w:rsidRPr="00B358B2">
        <w:rPr>
          <w:rFonts w:eastAsiaTheme="minorHAnsi" w:cs="Arial"/>
          <w:color w:val="auto"/>
          <w:lang w:eastAsia="en-US"/>
        </w:rPr>
        <w:t xml:space="preserve"> is </w:t>
      </w:r>
      <w:r w:rsidR="008B39F1">
        <w:rPr>
          <w:rFonts w:eastAsiaTheme="minorHAnsi" w:cs="Arial"/>
          <w:color w:val="auto"/>
          <w:lang w:eastAsia="en-US"/>
        </w:rPr>
        <w:t xml:space="preserve">equivalent to </w:t>
      </w:r>
      <w:r w:rsidR="001901BC" w:rsidRPr="00B358B2">
        <w:rPr>
          <w:rFonts w:eastAsiaTheme="minorHAnsi" w:cs="Arial"/>
          <w:color w:val="auto"/>
          <w:lang w:eastAsia="en-US"/>
        </w:rPr>
        <w:t>30 hours on the Oxford living wage (OLW</w:t>
      </w:r>
      <w:r w:rsidR="00D64EF0" w:rsidRPr="00B358B2">
        <w:rPr>
          <w:rFonts w:eastAsiaTheme="minorHAnsi" w:cs="Arial"/>
          <w:color w:val="auto"/>
          <w:lang w:eastAsia="en-US"/>
        </w:rPr>
        <w:t xml:space="preserve"> £10.50</w:t>
      </w:r>
      <w:r w:rsidR="00EF0B74">
        <w:rPr>
          <w:rFonts w:eastAsiaTheme="minorHAnsi" w:cs="Arial"/>
          <w:color w:val="auto"/>
          <w:lang w:eastAsia="en-US"/>
        </w:rPr>
        <w:t xml:space="preserve"> per hour</w:t>
      </w:r>
      <w:r w:rsidR="00AE663B">
        <w:rPr>
          <w:rFonts w:eastAsiaTheme="minorHAnsi" w:cs="Arial"/>
          <w:color w:val="auto"/>
          <w:lang w:eastAsia="en-US"/>
        </w:rPr>
        <w:t xml:space="preserve"> from April 2022</w:t>
      </w:r>
      <w:r w:rsidR="00D64EF0" w:rsidRPr="00B358B2">
        <w:rPr>
          <w:rFonts w:eastAsiaTheme="minorHAnsi" w:cs="Arial"/>
          <w:color w:val="auto"/>
          <w:lang w:eastAsia="en-US"/>
        </w:rPr>
        <w:t>)</w:t>
      </w:r>
      <w:r w:rsidR="001901BC" w:rsidRPr="00B358B2">
        <w:rPr>
          <w:rFonts w:eastAsiaTheme="minorHAnsi" w:cs="Arial"/>
          <w:color w:val="auto"/>
          <w:lang w:eastAsia="en-US"/>
        </w:rPr>
        <w:t xml:space="preserve"> rounded upwards</w:t>
      </w:r>
    </w:p>
    <w:p w14:paraId="1546A47E" w14:textId="762879A4" w:rsidR="001901BC" w:rsidRPr="00B358B2" w:rsidRDefault="0073753B" w:rsidP="00BC1E04">
      <w:pPr>
        <w:spacing w:after="0"/>
        <w:ind w:left="720"/>
        <w:contextualSpacing/>
        <w:rPr>
          <w:rFonts w:eastAsiaTheme="minorHAnsi" w:cs="Arial"/>
          <w:color w:val="auto"/>
          <w:lang w:eastAsia="en-US"/>
        </w:rPr>
      </w:pPr>
      <w:r>
        <w:rPr>
          <w:rFonts w:eastAsiaTheme="minorHAnsi" w:cs="Arial"/>
          <w:color w:val="auto"/>
          <w:lang w:eastAsia="en-US"/>
        </w:rPr>
        <w:t>Band 4</w:t>
      </w:r>
      <w:r w:rsidR="00D64EF0" w:rsidRPr="00B358B2">
        <w:rPr>
          <w:rFonts w:eastAsiaTheme="minorHAnsi" w:cs="Arial"/>
          <w:color w:val="auto"/>
          <w:lang w:eastAsia="en-US"/>
        </w:rPr>
        <w:t xml:space="preserve"> </w:t>
      </w:r>
      <w:r w:rsidR="008B39F1">
        <w:rPr>
          <w:rFonts w:eastAsiaTheme="minorHAnsi" w:cs="Arial"/>
          <w:color w:val="auto"/>
          <w:lang w:eastAsia="en-US"/>
        </w:rPr>
        <w:t xml:space="preserve">equivalent to </w:t>
      </w:r>
      <w:r w:rsidR="00D64EF0" w:rsidRPr="00B358B2">
        <w:rPr>
          <w:rFonts w:eastAsiaTheme="minorHAnsi" w:cs="Arial"/>
          <w:color w:val="auto"/>
          <w:lang w:eastAsia="en-US"/>
        </w:rPr>
        <w:t xml:space="preserve">the </w:t>
      </w:r>
      <w:r>
        <w:rPr>
          <w:rFonts w:eastAsiaTheme="minorHAnsi" w:cs="Arial"/>
          <w:color w:val="auto"/>
          <w:lang w:eastAsia="en-US"/>
        </w:rPr>
        <w:t>difference be</w:t>
      </w:r>
      <w:r w:rsidR="00AE663B">
        <w:rPr>
          <w:rFonts w:eastAsiaTheme="minorHAnsi" w:cs="Arial"/>
          <w:color w:val="auto"/>
          <w:lang w:eastAsia="en-US"/>
        </w:rPr>
        <w:t>tween the top of Band 3 and the Band 5 figure</w:t>
      </w:r>
    </w:p>
    <w:p w14:paraId="125DF9DA" w14:textId="514A7C25" w:rsidR="00AE663B" w:rsidRPr="00B358B2" w:rsidRDefault="00AE663B" w:rsidP="00AE663B">
      <w:pPr>
        <w:spacing w:after="120"/>
        <w:ind w:left="720"/>
        <w:rPr>
          <w:rFonts w:cs="Arial"/>
        </w:rPr>
      </w:pPr>
      <w:r w:rsidRPr="00B358B2">
        <w:rPr>
          <w:rFonts w:cs="Arial"/>
        </w:rPr>
        <w:t>Band 5 is the Benefit Cap amount for couples</w:t>
      </w:r>
      <w:r>
        <w:rPr>
          <w:rFonts w:cs="Arial"/>
        </w:rPr>
        <w:t xml:space="preserve"> (£384.62)</w:t>
      </w:r>
      <w:r w:rsidRPr="00B358B2">
        <w:rPr>
          <w:rFonts w:cs="Arial"/>
        </w:rPr>
        <w:t xml:space="preserve"> increased by CPI at Sept 21 of 3.1% instead of RPI of 4.9%, in line with DWP benefit uprating)</w:t>
      </w:r>
    </w:p>
    <w:p w14:paraId="52213AEE" w14:textId="77777777" w:rsidR="00BC1E04" w:rsidRPr="00B358B2" w:rsidRDefault="00BC1E04" w:rsidP="00BC1E04">
      <w:pPr>
        <w:spacing w:after="0"/>
        <w:ind w:left="720"/>
        <w:contextualSpacing/>
        <w:rPr>
          <w:rFonts w:eastAsiaTheme="minorHAnsi" w:cs="Arial"/>
          <w:color w:val="auto"/>
          <w:lang w:eastAsia="en-US"/>
        </w:rPr>
      </w:pPr>
    </w:p>
    <w:p w14:paraId="5FDEAF66" w14:textId="16C8CB3C" w:rsidR="00BC1E04" w:rsidRPr="00B358B2" w:rsidRDefault="005F44ED" w:rsidP="00BC1E04">
      <w:pPr>
        <w:spacing w:after="0"/>
        <w:ind w:left="720"/>
        <w:contextualSpacing/>
        <w:rPr>
          <w:rFonts w:eastAsiaTheme="minorHAnsi" w:cs="Arial"/>
          <w:color w:val="auto"/>
          <w:lang w:eastAsia="en-US"/>
        </w:rPr>
      </w:pPr>
      <w:r w:rsidRPr="0073753B">
        <w:rPr>
          <w:rFonts w:eastAsiaTheme="minorHAnsi" w:cs="Arial"/>
          <w:b/>
          <w:color w:val="auto"/>
          <w:lang w:eastAsia="en-US"/>
        </w:rPr>
        <w:t>Council Response</w:t>
      </w:r>
      <w:r>
        <w:rPr>
          <w:rFonts w:eastAsiaTheme="minorHAnsi" w:cs="Arial"/>
          <w:color w:val="auto"/>
          <w:lang w:eastAsia="en-US"/>
        </w:rPr>
        <w:t xml:space="preserve"> – To</w:t>
      </w:r>
      <w:r w:rsidR="00AE663B">
        <w:rPr>
          <w:rFonts w:eastAsiaTheme="minorHAnsi" w:cs="Arial"/>
          <w:color w:val="auto"/>
          <w:lang w:eastAsia="en-US"/>
        </w:rPr>
        <w:t xml:space="preserve"> keep the methodology of updating the bands as highlighted above, and to increase Band 5 by CPI instead of RPI </w:t>
      </w:r>
      <w:r>
        <w:rPr>
          <w:rFonts w:eastAsiaTheme="minorHAnsi" w:cs="Arial"/>
          <w:color w:val="auto"/>
          <w:lang w:eastAsia="en-US"/>
        </w:rPr>
        <w:t>which as at September 2021 was 3.1%</w:t>
      </w:r>
      <w:r w:rsidR="00463DD7">
        <w:rPr>
          <w:rFonts w:eastAsiaTheme="minorHAnsi" w:cs="Arial"/>
          <w:color w:val="auto"/>
          <w:lang w:eastAsia="en-US"/>
        </w:rPr>
        <w:t>.</w:t>
      </w:r>
    </w:p>
    <w:p w14:paraId="7CFBCE51" w14:textId="77777777" w:rsidR="004D1BE5" w:rsidRPr="00B358B2" w:rsidRDefault="004D1BE5" w:rsidP="001901BC">
      <w:pPr>
        <w:autoSpaceDE w:val="0"/>
        <w:autoSpaceDN w:val="0"/>
        <w:adjustRightInd w:val="0"/>
        <w:spacing w:after="0"/>
        <w:ind w:firstLine="720"/>
        <w:rPr>
          <w:rFonts w:cs="Arial"/>
          <w:b/>
          <w:color w:val="auto"/>
          <w:highlight w:val="yellow"/>
        </w:rPr>
      </w:pPr>
    </w:p>
    <w:p w14:paraId="6326F9B4" w14:textId="77777777" w:rsidR="001901BC" w:rsidRPr="00B358B2" w:rsidRDefault="001901BC" w:rsidP="001901BC">
      <w:pPr>
        <w:autoSpaceDE w:val="0"/>
        <w:autoSpaceDN w:val="0"/>
        <w:adjustRightInd w:val="0"/>
        <w:spacing w:after="0"/>
        <w:ind w:firstLine="720"/>
        <w:rPr>
          <w:rFonts w:cs="Arial"/>
          <w:b/>
          <w:color w:val="auto"/>
        </w:rPr>
      </w:pPr>
      <w:r w:rsidRPr="00B358B2">
        <w:rPr>
          <w:rFonts w:cs="Arial"/>
          <w:b/>
          <w:color w:val="auto"/>
        </w:rPr>
        <w:t>Making a minimum charge</w:t>
      </w:r>
    </w:p>
    <w:p w14:paraId="69464707" w14:textId="77777777" w:rsidR="001901BC" w:rsidRPr="00B358B2" w:rsidRDefault="001901BC" w:rsidP="001901BC">
      <w:pPr>
        <w:autoSpaceDE w:val="0"/>
        <w:autoSpaceDN w:val="0"/>
        <w:adjustRightInd w:val="0"/>
        <w:spacing w:after="0"/>
        <w:ind w:firstLine="720"/>
        <w:rPr>
          <w:rFonts w:cs="Arial"/>
          <w:b/>
          <w:color w:val="auto"/>
        </w:rPr>
      </w:pPr>
    </w:p>
    <w:p w14:paraId="481FD32D" w14:textId="62602A8B" w:rsidR="001901BC" w:rsidRPr="00B358B2" w:rsidRDefault="001901BC" w:rsidP="001901BC">
      <w:pPr>
        <w:pStyle w:val="ListParagraph"/>
        <w:numPr>
          <w:ilvl w:val="0"/>
          <w:numId w:val="32"/>
        </w:numPr>
        <w:rPr>
          <w:rFonts w:cs="Arial"/>
        </w:rPr>
      </w:pPr>
      <w:r w:rsidRPr="00B358B2">
        <w:rPr>
          <w:rFonts w:cs="Arial"/>
        </w:rPr>
        <w:t xml:space="preserve">In preparing </w:t>
      </w:r>
      <w:r w:rsidR="007E46DC">
        <w:rPr>
          <w:rFonts w:cs="Arial"/>
        </w:rPr>
        <w:t>the</w:t>
      </w:r>
      <w:r w:rsidR="00444235">
        <w:rPr>
          <w:rFonts w:cs="Arial"/>
        </w:rPr>
        <w:t xml:space="preserve"> </w:t>
      </w:r>
      <w:r w:rsidRPr="00B358B2">
        <w:rPr>
          <w:rFonts w:cs="Arial"/>
        </w:rPr>
        <w:t>Consultation Budget presented to Cabinet</w:t>
      </w:r>
      <w:r w:rsidR="007E46DC">
        <w:rPr>
          <w:rFonts w:cs="Arial"/>
        </w:rPr>
        <w:t>,</w:t>
      </w:r>
      <w:r w:rsidRPr="00B358B2">
        <w:rPr>
          <w:rFonts w:cs="Arial"/>
        </w:rPr>
        <w:t xml:space="preserve"> the Council resolved to continue to provide maximum financial support for residents in receipt of CTR, factoring in the cos</w:t>
      </w:r>
      <w:r w:rsidR="00423F13" w:rsidRPr="00B358B2">
        <w:rPr>
          <w:rFonts w:cs="Arial"/>
        </w:rPr>
        <w:t>t of such support</w:t>
      </w:r>
      <w:r w:rsidRPr="00B358B2">
        <w:rPr>
          <w:rFonts w:cs="Arial"/>
        </w:rPr>
        <w:t xml:space="preserve"> into its budget plans. This is in line with the consultation responses which equally indicated little support for capping the amount of financial support pro</w:t>
      </w:r>
      <w:r w:rsidR="00423F13" w:rsidRPr="00B358B2">
        <w:rPr>
          <w:rFonts w:cs="Arial"/>
        </w:rPr>
        <w:t>vided.</w:t>
      </w:r>
    </w:p>
    <w:p w14:paraId="07F533F4" w14:textId="77777777" w:rsidR="005F44ED" w:rsidRPr="0073753B" w:rsidRDefault="005F44ED" w:rsidP="00BC1E04">
      <w:pPr>
        <w:ind w:left="720"/>
        <w:rPr>
          <w:rFonts w:cs="Arial"/>
          <w:b/>
        </w:rPr>
      </w:pPr>
    </w:p>
    <w:p w14:paraId="64D6B982" w14:textId="3AA31DA7" w:rsidR="00BC1E04" w:rsidRPr="00B358B2" w:rsidRDefault="005F44ED" w:rsidP="00BC1E04">
      <w:pPr>
        <w:ind w:left="720"/>
        <w:rPr>
          <w:rFonts w:cs="Arial"/>
        </w:rPr>
      </w:pPr>
      <w:r w:rsidRPr="0073753B">
        <w:rPr>
          <w:rFonts w:cs="Arial"/>
          <w:b/>
        </w:rPr>
        <w:t>Council Response -</w:t>
      </w:r>
      <w:r>
        <w:rPr>
          <w:rFonts w:cs="Arial"/>
        </w:rPr>
        <w:t xml:space="preserve"> </w:t>
      </w:r>
      <w:r w:rsidR="00BC1E04" w:rsidRPr="00B358B2">
        <w:rPr>
          <w:rFonts w:cs="Arial"/>
        </w:rPr>
        <w:t xml:space="preserve">In view of the current effect of the pandemic and increases in the cost of </w:t>
      </w:r>
      <w:r w:rsidR="007E6FFC" w:rsidRPr="00B358B2">
        <w:rPr>
          <w:rFonts w:cs="Arial"/>
        </w:rPr>
        <w:t>living,</w:t>
      </w:r>
      <w:r w:rsidR="00BC1E04" w:rsidRPr="00B358B2">
        <w:rPr>
          <w:rFonts w:cs="Arial"/>
        </w:rPr>
        <w:t xml:space="preserve"> it is recommended that the Council continues to</w:t>
      </w:r>
      <w:r w:rsidR="00463DD7">
        <w:rPr>
          <w:rFonts w:cs="Arial"/>
        </w:rPr>
        <w:t xml:space="preserve"> award up to a maximum 100% CTR.</w:t>
      </w:r>
    </w:p>
    <w:p w14:paraId="1C978DF7" w14:textId="77777777" w:rsidR="001901BC" w:rsidRPr="00B358B2" w:rsidRDefault="001901BC" w:rsidP="001901BC">
      <w:pPr>
        <w:rPr>
          <w:rFonts w:cs="Arial"/>
          <w:highlight w:val="yellow"/>
        </w:rPr>
      </w:pPr>
    </w:p>
    <w:p w14:paraId="7D2DF91F" w14:textId="77777777" w:rsidR="001901BC" w:rsidRPr="00B358B2" w:rsidRDefault="00D64EF0" w:rsidP="00D64EF0">
      <w:pPr>
        <w:ind w:left="720"/>
        <w:rPr>
          <w:rFonts w:cs="Arial"/>
          <w:b/>
        </w:rPr>
      </w:pPr>
      <w:r w:rsidRPr="00B358B2">
        <w:rPr>
          <w:rFonts w:cs="Arial"/>
          <w:b/>
        </w:rPr>
        <w:t>Family Composition</w:t>
      </w:r>
    </w:p>
    <w:p w14:paraId="67BB0389" w14:textId="77777777" w:rsidR="001901BC" w:rsidRPr="00B358B2" w:rsidRDefault="001901BC" w:rsidP="001901BC">
      <w:pPr>
        <w:rPr>
          <w:rFonts w:cs="Arial"/>
        </w:rPr>
      </w:pPr>
    </w:p>
    <w:p w14:paraId="0C83808E" w14:textId="1EB55B93" w:rsidR="001901BC" w:rsidRPr="00B358B2" w:rsidRDefault="001901BC" w:rsidP="001901BC">
      <w:pPr>
        <w:numPr>
          <w:ilvl w:val="0"/>
          <w:numId w:val="32"/>
        </w:numPr>
        <w:tabs>
          <w:tab w:val="left" w:pos="426"/>
        </w:tabs>
        <w:spacing w:after="120"/>
        <w:rPr>
          <w:rFonts w:eastAsia="Calibri" w:cs="Arial"/>
          <w:lang w:eastAsia="en-US"/>
        </w:rPr>
      </w:pPr>
      <w:r w:rsidRPr="00B358B2">
        <w:rPr>
          <w:rFonts w:eastAsia="Calibri" w:cs="Arial"/>
          <w:lang w:eastAsia="en-US"/>
        </w:rPr>
        <w:t>To consider if the banded income approach should take into account family size.</w:t>
      </w:r>
      <w:r w:rsidRPr="00B358B2">
        <w:rPr>
          <w:rFonts w:cs="Arial"/>
        </w:rPr>
        <w:t xml:space="preserve"> Currently the scheme has a single structure for a total income for all applications, with no regard to household composition</w:t>
      </w:r>
      <w:r w:rsidR="00463DD7">
        <w:rPr>
          <w:rFonts w:cs="Arial"/>
        </w:rPr>
        <w:t>.</w:t>
      </w:r>
    </w:p>
    <w:p w14:paraId="2BE77CA3" w14:textId="77777777" w:rsidR="005F44ED" w:rsidRDefault="005F44ED" w:rsidP="00D64EF0">
      <w:pPr>
        <w:tabs>
          <w:tab w:val="left" w:pos="426"/>
        </w:tabs>
        <w:spacing w:after="120"/>
        <w:ind w:left="720"/>
        <w:rPr>
          <w:rFonts w:cs="Arial"/>
        </w:rPr>
      </w:pPr>
    </w:p>
    <w:p w14:paraId="6125AC23" w14:textId="52D9956C" w:rsidR="0073753B" w:rsidRDefault="005F44ED" w:rsidP="00FD1632">
      <w:pPr>
        <w:tabs>
          <w:tab w:val="left" w:pos="426"/>
        </w:tabs>
        <w:spacing w:after="120"/>
        <w:ind w:left="720"/>
        <w:rPr>
          <w:rFonts w:cs="Arial"/>
        </w:rPr>
      </w:pPr>
      <w:r w:rsidRPr="0073753B">
        <w:rPr>
          <w:rFonts w:cs="Arial"/>
          <w:b/>
        </w:rPr>
        <w:t>Council Response</w:t>
      </w:r>
      <w:r>
        <w:rPr>
          <w:rFonts w:cs="Arial"/>
        </w:rPr>
        <w:t xml:space="preserve"> - </w:t>
      </w:r>
      <w:r w:rsidR="00423F13" w:rsidRPr="00B358B2">
        <w:rPr>
          <w:rFonts w:cs="Arial"/>
        </w:rPr>
        <w:t xml:space="preserve">Whilst there is support for this there were also a range of comments including keeping the scheme as it is to avoid complication. It is recommended that the bands stay as they are currently as this appears to be working well, but that officers </w:t>
      </w:r>
      <w:r w:rsidR="00A577A9">
        <w:rPr>
          <w:rFonts w:cs="Arial"/>
        </w:rPr>
        <w:t xml:space="preserve">will investigate </w:t>
      </w:r>
      <w:r w:rsidR="00423F13" w:rsidRPr="00B358B2">
        <w:rPr>
          <w:rFonts w:cs="Arial"/>
        </w:rPr>
        <w:t>options</w:t>
      </w:r>
      <w:r w:rsidR="00A577A9">
        <w:rPr>
          <w:rFonts w:cs="Arial"/>
        </w:rPr>
        <w:t xml:space="preserve"> other</w:t>
      </w:r>
      <w:r w:rsidR="00423F13" w:rsidRPr="00B358B2">
        <w:rPr>
          <w:rFonts w:cs="Arial"/>
        </w:rPr>
        <w:t xml:space="preserve"> Councils implement around the bands/income and family composition and model options for the 2023/24 CTR Scheme</w:t>
      </w:r>
      <w:r w:rsidR="00463DD7">
        <w:rPr>
          <w:rFonts w:cs="Arial"/>
        </w:rPr>
        <w:t>.</w:t>
      </w:r>
    </w:p>
    <w:p w14:paraId="609E67B0" w14:textId="4CB4235D" w:rsidR="009B677A" w:rsidRDefault="009B677A">
      <w:pPr>
        <w:rPr>
          <w:rFonts w:cs="Arial"/>
        </w:rPr>
      </w:pPr>
      <w:r>
        <w:rPr>
          <w:rFonts w:cs="Arial"/>
        </w:rPr>
        <w:br w:type="page"/>
      </w:r>
    </w:p>
    <w:p w14:paraId="35BD977A" w14:textId="77777777" w:rsidR="00FD1632" w:rsidRPr="00FD1632" w:rsidRDefault="00FD1632" w:rsidP="00FD1632">
      <w:pPr>
        <w:tabs>
          <w:tab w:val="left" w:pos="426"/>
        </w:tabs>
        <w:spacing w:after="120"/>
        <w:ind w:left="720"/>
        <w:rPr>
          <w:rFonts w:cs="Arial"/>
        </w:rPr>
      </w:pPr>
    </w:p>
    <w:p w14:paraId="7D49B72B" w14:textId="77777777" w:rsidR="00236F95" w:rsidRPr="00B358B2" w:rsidRDefault="00D64EF0" w:rsidP="00D64EF0">
      <w:pPr>
        <w:tabs>
          <w:tab w:val="left" w:pos="426"/>
        </w:tabs>
        <w:spacing w:after="120"/>
        <w:ind w:left="720"/>
        <w:rPr>
          <w:rFonts w:cs="Arial"/>
          <w:b/>
        </w:rPr>
      </w:pPr>
      <w:r w:rsidRPr="00B358B2">
        <w:rPr>
          <w:rFonts w:cs="Arial"/>
          <w:b/>
        </w:rPr>
        <w:t>Non-Dependants</w:t>
      </w:r>
    </w:p>
    <w:p w14:paraId="1004E183" w14:textId="77777777" w:rsidR="00236F95" w:rsidRPr="00B358B2" w:rsidRDefault="00236F95" w:rsidP="00236F95">
      <w:pPr>
        <w:numPr>
          <w:ilvl w:val="0"/>
          <w:numId w:val="32"/>
        </w:numPr>
        <w:tabs>
          <w:tab w:val="left" w:pos="426"/>
        </w:tabs>
        <w:spacing w:after="120"/>
        <w:rPr>
          <w:rFonts w:cs="Arial"/>
        </w:rPr>
      </w:pPr>
      <w:r w:rsidRPr="00B358B2">
        <w:rPr>
          <w:rFonts w:cs="Arial"/>
        </w:rPr>
        <w:t xml:space="preserve">To automatically reduce the CTR award to a maximum of 75% if there is a non-dependant (adult aged 18 or over) in the property. In cases where there is a disability benefit in payment for the applicant or an additional adult, then the reduction would not be applied. This mirrors the application of the single person discount. </w:t>
      </w:r>
    </w:p>
    <w:p w14:paraId="264C1FDB" w14:textId="77777777" w:rsidR="00A70B6A" w:rsidRDefault="005F44ED" w:rsidP="0073753B">
      <w:pPr>
        <w:spacing w:after="0"/>
        <w:ind w:left="720"/>
        <w:contextualSpacing/>
        <w:rPr>
          <w:rFonts w:eastAsiaTheme="minorHAnsi" w:cs="Arial"/>
          <w:color w:val="auto"/>
          <w:lang w:eastAsia="en-US"/>
        </w:rPr>
      </w:pPr>
      <w:r w:rsidRPr="0073753B">
        <w:rPr>
          <w:rFonts w:eastAsiaTheme="minorHAnsi" w:cs="Arial"/>
          <w:b/>
          <w:color w:val="auto"/>
          <w:lang w:eastAsia="en-US"/>
        </w:rPr>
        <w:t>Council Response</w:t>
      </w:r>
      <w:r>
        <w:rPr>
          <w:rFonts w:eastAsiaTheme="minorHAnsi" w:cs="Arial"/>
          <w:color w:val="auto"/>
          <w:lang w:eastAsia="en-US"/>
        </w:rPr>
        <w:t xml:space="preserve"> -</w:t>
      </w:r>
      <w:r w:rsidR="00D64EF0" w:rsidRPr="00B358B2">
        <w:rPr>
          <w:rFonts w:eastAsiaTheme="minorHAnsi" w:cs="Arial"/>
          <w:color w:val="auto"/>
          <w:lang w:eastAsia="en-US"/>
        </w:rPr>
        <w:t xml:space="preserve">There was little support for this change and as </w:t>
      </w:r>
      <w:r w:rsidR="00BC1E04" w:rsidRPr="00B358B2">
        <w:rPr>
          <w:rFonts w:eastAsiaTheme="minorHAnsi" w:cs="Arial"/>
          <w:color w:val="auto"/>
          <w:lang w:eastAsia="en-US"/>
        </w:rPr>
        <w:t>the numbers are</w:t>
      </w:r>
      <w:r w:rsidR="0073753B">
        <w:rPr>
          <w:rFonts w:eastAsiaTheme="minorHAnsi" w:cs="Arial"/>
          <w:color w:val="auto"/>
          <w:lang w:eastAsia="en-US"/>
        </w:rPr>
        <w:t xml:space="preserve"> small it is recommended that the Council</w:t>
      </w:r>
      <w:r w:rsidR="00BC1E04" w:rsidRPr="00B358B2">
        <w:rPr>
          <w:rFonts w:eastAsiaTheme="minorHAnsi" w:cs="Arial"/>
          <w:color w:val="auto"/>
          <w:lang w:eastAsia="en-US"/>
        </w:rPr>
        <w:t xml:space="preserve"> do</w:t>
      </w:r>
      <w:r w:rsidR="0073753B">
        <w:rPr>
          <w:rFonts w:eastAsiaTheme="minorHAnsi" w:cs="Arial"/>
          <w:color w:val="auto"/>
          <w:lang w:eastAsia="en-US"/>
        </w:rPr>
        <w:t>es</w:t>
      </w:r>
      <w:r w:rsidR="00BC1E04" w:rsidRPr="00B358B2">
        <w:rPr>
          <w:rFonts w:eastAsiaTheme="minorHAnsi" w:cs="Arial"/>
          <w:color w:val="auto"/>
          <w:lang w:eastAsia="en-US"/>
        </w:rPr>
        <w:t xml:space="preserve"> not take this forward</w:t>
      </w:r>
      <w:r w:rsidR="00D64EF0" w:rsidRPr="00B358B2">
        <w:rPr>
          <w:rFonts w:eastAsiaTheme="minorHAnsi" w:cs="Arial"/>
          <w:color w:val="auto"/>
          <w:lang w:eastAsia="en-US"/>
        </w:rPr>
        <w:t>.</w:t>
      </w:r>
    </w:p>
    <w:p w14:paraId="516ED00D" w14:textId="77777777" w:rsidR="008B39F1" w:rsidRDefault="008B39F1" w:rsidP="0073753B">
      <w:pPr>
        <w:spacing w:after="0"/>
        <w:ind w:left="720"/>
        <w:contextualSpacing/>
        <w:rPr>
          <w:rFonts w:eastAsiaTheme="minorHAnsi" w:cs="Arial"/>
          <w:color w:val="auto"/>
          <w:lang w:eastAsia="en-US"/>
        </w:rPr>
      </w:pPr>
    </w:p>
    <w:p w14:paraId="2330651B" w14:textId="77777777" w:rsidR="008B39F1" w:rsidRPr="00A66429" w:rsidRDefault="008B39F1" w:rsidP="008B39F1">
      <w:pPr>
        <w:spacing w:after="0"/>
        <w:ind w:left="720" w:hanging="578"/>
        <w:contextualSpacing/>
        <w:rPr>
          <w:rFonts w:eastAsiaTheme="minorHAnsi" w:cs="Arial"/>
          <w:b/>
          <w:color w:val="auto"/>
          <w:lang w:eastAsia="en-US"/>
        </w:rPr>
      </w:pPr>
      <w:r w:rsidRPr="00A66429">
        <w:rPr>
          <w:rFonts w:eastAsiaTheme="minorHAnsi" w:cs="Arial"/>
          <w:b/>
          <w:color w:val="auto"/>
          <w:lang w:eastAsia="en-US"/>
        </w:rPr>
        <w:t>Other considerations taken into account in the proposed scheme</w:t>
      </w:r>
    </w:p>
    <w:p w14:paraId="12A3833F" w14:textId="77777777" w:rsidR="00D64EF0" w:rsidRPr="00B358B2" w:rsidRDefault="00D64EF0" w:rsidP="00D64EF0">
      <w:pPr>
        <w:spacing w:after="0"/>
        <w:contextualSpacing/>
        <w:rPr>
          <w:rFonts w:eastAsiaTheme="minorHAnsi" w:cs="Arial"/>
          <w:color w:val="auto"/>
          <w:highlight w:val="yellow"/>
          <w:lang w:eastAsia="en-US"/>
        </w:rPr>
      </w:pPr>
    </w:p>
    <w:p w14:paraId="25EEB179" w14:textId="77777777" w:rsidR="00A70B6A" w:rsidRPr="00B358B2" w:rsidRDefault="00A70B6A" w:rsidP="00A03F7B">
      <w:pPr>
        <w:pStyle w:val="ListParagraph"/>
        <w:numPr>
          <w:ilvl w:val="0"/>
          <w:numId w:val="6"/>
        </w:numPr>
        <w:spacing w:after="0"/>
        <w:contextualSpacing/>
        <w:rPr>
          <w:rFonts w:eastAsiaTheme="minorHAnsi" w:cs="Arial"/>
          <w:color w:val="auto"/>
          <w:lang w:eastAsia="en-US"/>
        </w:rPr>
      </w:pPr>
      <w:r w:rsidRPr="00B358B2">
        <w:rPr>
          <w:rFonts w:eastAsiaTheme="minorHAnsi" w:cs="Arial"/>
          <w:color w:val="auto"/>
          <w:lang w:eastAsia="en-US"/>
        </w:rPr>
        <w:t xml:space="preserve">The Council will always endeavour to maximise the CTR award. Where the customer has a minimal change in Income and doesn’t move from one Income Band to another they will not need to report changes and their CTR award remain the same. </w:t>
      </w:r>
    </w:p>
    <w:p w14:paraId="511B4187" w14:textId="77777777" w:rsidR="00A70B6A" w:rsidRPr="00B358B2" w:rsidRDefault="00A70B6A" w:rsidP="00A70B6A">
      <w:pPr>
        <w:pStyle w:val="ListParagraph"/>
        <w:numPr>
          <w:ilvl w:val="0"/>
          <w:numId w:val="0"/>
        </w:numPr>
        <w:ind w:left="426"/>
        <w:rPr>
          <w:rFonts w:eastAsiaTheme="minorHAnsi" w:cs="Arial"/>
          <w:color w:val="auto"/>
          <w:lang w:eastAsia="en-US"/>
        </w:rPr>
      </w:pPr>
    </w:p>
    <w:p w14:paraId="1DADB854" w14:textId="6363464C" w:rsidR="00A70B6A" w:rsidRPr="00B358B2" w:rsidRDefault="00A70B6A" w:rsidP="00A03F7B">
      <w:pPr>
        <w:pStyle w:val="ListParagraph"/>
        <w:numPr>
          <w:ilvl w:val="0"/>
          <w:numId w:val="6"/>
        </w:numPr>
        <w:spacing w:after="0"/>
        <w:contextualSpacing/>
        <w:rPr>
          <w:rFonts w:eastAsiaTheme="minorHAnsi" w:cs="Arial"/>
          <w:color w:val="auto"/>
          <w:lang w:eastAsia="en-US"/>
        </w:rPr>
      </w:pPr>
      <w:r w:rsidRPr="00B358B2">
        <w:rPr>
          <w:rFonts w:eastAsiaTheme="minorHAnsi" w:cs="Arial"/>
          <w:color w:val="auto"/>
          <w:lang w:eastAsia="en-US"/>
        </w:rPr>
        <w:t xml:space="preserve">As part of the new CTR scheme, </w:t>
      </w:r>
      <w:r w:rsidR="008B39F1">
        <w:rPr>
          <w:rFonts w:eastAsiaTheme="minorHAnsi" w:cs="Arial"/>
          <w:color w:val="auto"/>
          <w:lang w:eastAsia="en-US"/>
        </w:rPr>
        <w:t>the Council</w:t>
      </w:r>
      <w:r w:rsidRPr="00B358B2">
        <w:rPr>
          <w:rFonts w:eastAsiaTheme="minorHAnsi" w:cs="Arial"/>
          <w:color w:val="auto"/>
          <w:lang w:eastAsia="en-US"/>
        </w:rPr>
        <w:t xml:space="preserve"> will continue to disregard </w:t>
      </w:r>
      <w:r w:rsidR="00C55E85" w:rsidRPr="00B358B2">
        <w:rPr>
          <w:rFonts w:eastAsiaTheme="minorHAnsi" w:cs="Arial"/>
          <w:color w:val="auto"/>
          <w:lang w:eastAsia="en-US"/>
        </w:rPr>
        <w:t xml:space="preserve">most </w:t>
      </w:r>
      <w:r w:rsidRPr="00B358B2">
        <w:rPr>
          <w:rFonts w:eastAsiaTheme="minorHAnsi" w:cs="Arial"/>
          <w:color w:val="auto"/>
          <w:lang w:eastAsia="en-US"/>
        </w:rPr>
        <w:t>disability benefits</w:t>
      </w:r>
      <w:r w:rsidR="00B64204">
        <w:rPr>
          <w:rFonts w:eastAsiaTheme="minorHAnsi" w:cs="Arial"/>
          <w:color w:val="auto"/>
          <w:lang w:eastAsia="en-US"/>
        </w:rPr>
        <w:t>. The Council</w:t>
      </w:r>
      <w:r w:rsidR="00C55E85" w:rsidRPr="00B358B2">
        <w:rPr>
          <w:rFonts w:eastAsiaTheme="minorHAnsi" w:cs="Arial"/>
          <w:color w:val="auto"/>
          <w:lang w:eastAsia="en-US"/>
        </w:rPr>
        <w:t xml:space="preserve"> will however take into account</w:t>
      </w:r>
      <w:r w:rsidRPr="00B358B2">
        <w:rPr>
          <w:rFonts w:eastAsiaTheme="minorHAnsi" w:cs="Arial"/>
          <w:color w:val="auto"/>
          <w:lang w:eastAsia="en-US"/>
        </w:rPr>
        <w:t xml:space="preserve"> Employment Support Allowance Contributions Based, as this </w:t>
      </w:r>
      <w:r w:rsidR="00C55E85" w:rsidRPr="00B358B2">
        <w:rPr>
          <w:rFonts w:eastAsiaTheme="minorHAnsi" w:cs="Arial"/>
          <w:color w:val="auto"/>
          <w:lang w:eastAsia="en-US"/>
        </w:rPr>
        <w:t>benefit is based on National Insurance contributions and the claimant may have other Income.</w:t>
      </w:r>
    </w:p>
    <w:p w14:paraId="2C8531A7" w14:textId="77777777" w:rsidR="00952689" w:rsidRPr="00B358B2" w:rsidRDefault="00952689" w:rsidP="0092468D">
      <w:pPr>
        <w:pStyle w:val="ListParagraph"/>
        <w:numPr>
          <w:ilvl w:val="0"/>
          <w:numId w:val="0"/>
        </w:numPr>
        <w:spacing w:after="0"/>
        <w:ind w:left="720"/>
        <w:contextualSpacing/>
        <w:rPr>
          <w:rFonts w:eastAsiaTheme="minorHAnsi" w:cs="Arial"/>
          <w:color w:val="auto"/>
          <w:highlight w:val="yellow"/>
          <w:lang w:eastAsia="en-US"/>
        </w:rPr>
      </w:pPr>
    </w:p>
    <w:p w14:paraId="0CCEA3EB" w14:textId="77777777" w:rsidR="00185FA5" w:rsidRPr="00B358B2" w:rsidRDefault="00F60052" w:rsidP="00A03F7B">
      <w:pPr>
        <w:pStyle w:val="ListParagraph"/>
        <w:numPr>
          <w:ilvl w:val="0"/>
          <w:numId w:val="6"/>
        </w:numPr>
        <w:spacing w:after="0"/>
        <w:contextualSpacing/>
        <w:rPr>
          <w:rFonts w:eastAsiaTheme="minorHAnsi" w:cs="Arial"/>
          <w:color w:val="auto"/>
          <w:lang w:eastAsia="en-US"/>
        </w:rPr>
      </w:pPr>
      <w:r w:rsidRPr="00B358B2">
        <w:rPr>
          <w:rFonts w:eastAsia="Calibri" w:cs="Arial"/>
          <w:color w:val="auto"/>
          <w:lang w:eastAsia="en-US"/>
        </w:rPr>
        <w:t>T</w:t>
      </w:r>
      <w:r w:rsidR="00185FA5" w:rsidRPr="00B358B2">
        <w:rPr>
          <w:rFonts w:eastAsia="Calibri" w:cs="Arial"/>
          <w:color w:val="auto"/>
          <w:lang w:eastAsia="en-US"/>
        </w:rPr>
        <w:t xml:space="preserve">here will be some administrative work required to implement the </w:t>
      </w:r>
      <w:r w:rsidR="004E4127" w:rsidRPr="00B358B2">
        <w:rPr>
          <w:rFonts w:eastAsia="Calibri" w:cs="Arial"/>
          <w:color w:val="auto"/>
          <w:lang w:eastAsia="en-US"/>
        </w:rPr>
        <w:t xml:space="preserve">amendments to the </w:t>
      </w:r>
      <w:r w:rsidR="00185FA5" w:rsidRPr="00B358B2">
        <w:rPr>
          <w:rFonts w:eastAsia="Calibri" w:cs="Arial"/>
          <w:color w:val="auto"/>
          <w:lang w:eastAsia="en-US"/>
        </w:rPr>
        <w:t xml:space="preserve">scheme and inform the public about the changes. This includes </w:t>
      </w:r>
      <w:r w:rsidR="004E4127" w:rsidRPr="00B358B2">
        <w:rPr>
          <w:rFonts w:eastAsia="Calibri" w:cs="Arial"/>
          <w:color w:val="auto"/>
          <w:lang w:eastAsia="en-US"/>
        </w:rPr>
        <w:t xml:space="preserve">revising the scheme, </w:t>
      </w:r>
      <w:r w:rsidR="00F95E17" w:rsidRPr="00B358B2">
        <w:rPr>
          <w:rFonts w:eastAsia="Calibri" w:cs="Arial"/>
          <w:color w:val="auto"/>
          <w:lang w:eastAsia="en-US"/>
        </w:rPr>
        <w:t xml:space="preserve">updating any legislative changes required, </w:t>
      </w:r>
      <w:r w:rsidR="00185FA5" w:rsidRPr="00B358B2">
        <w:rPr>
          <w:rFonts w:eastAsia="Calibri" w:cs="Arial"/>
          <w:color w:val="auto"/>
          <w:lang w:eastAsia="en-US"/>
        </w:rPr>
        <w:t xml:space="preserve">amending the functionality of the software used for administering </w:t>
      </w:r>
      <w:r w:rsidR="006C3421" w:rsidRPr="00B358B2">
        <w:rPr>
          <w:rFonts w:eastAsia="Calibri" w:cs="Arial"/>
          <w:color w:val="auto"/>
          <w:lang w:eastAsia="en-US"/>
        </w:rPr>
        <w:t xml:space="preserve">the </w:t>
      </w:r>
      <w:r w:rsidR="00185FA5" w:rsidRPr="00B358B2">
        <w:rPr>
          <w:rFonts w:eastAsia="Calibri" w:cs="Arial"/>
          <w:color w:val="auto"/>
          <w:lang w:eastAsia="en-US"/>
        </w:rPr>
        <w:t>CTR</w:t>
      </w:r>
      <w:r w:rsidR="002C03CF" w:rsidRPr="00B358B2">
        <w:rPr>
          <w:rFonts w:eastAsia="Calibri" w:cs="Arial"/>
          <w:color w:val="auto"/>
          <w:lang w:eastAsia="en-US"/>
        </w:rPr>
        <w:t xml:space="preserve"> Scheme</w:t>
      </w:r>
      <w:r w:rsidR="00185FA5" w:rsidRPr="00B358B2">
        <w:rPr>
          <w:rFonts w:eastAsia="Calibri" w:cs="Arial"/>
          <w:color w:val="auto"/>
          <w:lang w:eastAsia="en-US"/>
        </w:rPr>
        <w:t>, amending local processes, training staff and producin</w:t>
      </w:r>
      <w:r w:rsidR="00D64EF0" w:rsidRPr="00B358B2">
        <w:rPr>
          <w:rFonts w:eastAsia="Calibri" w:cs="Arial"/>
          <w:color w:val="auto"/>
          <w:lang w:eastAsia="en-US"/>
        </w:rPr>
        <w:t xml:space="preserve">g communications for customers. </w:t>
      </w:r>
      <w:r w:rsidR="0029764B" w:rsidRPr="00B358B2">
        <w:rPr>
          <w:rFonts w:eastAsia="Calibri" w:cs="Arial"/>
          <w:color w:val="auto"/>
          <w:lang w:eastAsia="en-US"/>
        </w:rPr>
        <w:t>This will lead t</w:t>
      </w:r>
      <w:r w:rsidR="00FC1ACD" w:rsidRPr="00B358B2">
        <w:rPr>
          <w:rFonts w:eastAsia="Calibri" w:cs="Arial"/>
          <w:color w:val="auto"/>
          <w:lang w:eastAsia="en-US"/>
        </w:rPr>
        <w:t xml:space="preserve">o a better customer experience by having an </w:t>
      </w:r>
      <w:r w:rsidR="0029764B" w:rsidRPr="00B358B2">
        <w:rPr>
          <w:rFonts w:eastAsia="Calibri" w:cs="Arial"/>
          <w:color w:val="auto"/>
          <w:lang w:eastAsia="en-US"/>
        </w:rPr>
        <w:t xml:space="preserve">easier application process, </w:t>
      </w:r>
      <w:r w:rsidR="00FC1ACD" w:rsidRPr="00B358B2">
        <w:rPr>
          <w:rFonts w:eastAsia="Calibri" w:cs="Arial"/>
          <w:color w:val="auto"/>
          <w:lang w:eastAsia="en-US"/>
        </w:rPr>
        <w:t xml:space="preserve">with </w:t>
      </w:r>
      <w:r w:rsidR="0029764B" w:rsidRPr="00B358B2">
        <w:rPr>
          <w:rFonts w:eastAsia="Calibri" w:cs="Arial"/>
          <w:color w:val="auto"/>
          <w:lang w:eastAsia="en-US"/>
        </w:rPr>
        <w:t xml:space="preserve">no need to notify of minor income changes unless this would mean moving into </w:t>
      </w:r>
      <w:r w:rsidR="00FC1ACD" w:rsidRPr="00B358B2">
        <w:rPr>
          <w:rFonts w:eastAsia="Calibri" w:cs="Arial"/>
          <w:color w:val="auto"/>
          <w:lang w:eastAsia="en-US"/>
        </w:rPr>
        <w:t>a lower or higher band and</w:t>
      </w:r>
      <w:r w:rsidR="0029764B" w:rsidRPr="00B358B2">
        <w:rPr>
          <w:rFonts w:eastAsia="Calibri" w:cs="Arial"/>
          <w:color w:val="auto"/>
          <w:lang w:eastAsia="en-US"/>
        </w:rPr>
        <w:t xml:space="preserve"> regular reviews of claims</w:t>
      </w:r>
      <w:r w:rsidR="00FC1ACD" w:rsidRPr="00B358B2">
        <w:rPr>
          <w:rFonts w:eastAsia="Calibri" w:cs="Arial"/>
          <w:color w:val="auto"/>
          <w:lang w:eastAsia="en-US"/>
        </w:rPr>
        <w:t>.</w:t>
      </w:r>
      <w:r w:rsidR="0029764B" w:rsidRPr="00B358B2">
        <w:rPr>
          <w:rFonts w:eastAsia="Calibri" w:cs="Arial"/>
          <w:color w:val="auto"/>
          <w:lang w:eastAsia="en-US"/>
        </w:rPr>
        <w:t xml:space="preserve"> </w:t>
      </w:r>
    </w:p>
    <w:p w14:paraId="6E733673" w14:textId="77777777" w:rsidR="00082D37" w:rsidRPr="00B358B2" w:rsidRDefault="00082D37" w:rsidP="00082D37">
      <w:pPr>
        <w:pStyle w:val="ListParagraph"/>
        <w:numPr>
          <w:ilvl w:val="0"/>
          <w:numId w:val="0"/>
        </w:numPr>
        <w:ind w:left="426"/>
        <w:rPr>
          <w:rFonts w:eastAsiaTheme="minorHAnsi" w:cs="Arial"/>
          <w:color w:val="auto"/>
          <w:highlight w:val="yellow"/>
          <w:lang w:eastAsia="en-US"/>
        </w:rPr>
      </w:pPr>
    </w:p>
    <w:p w14:paraId="54FCCFF0" w14:textId="77777777" w:rsidR="00985B07" w:rsidRPr="00B358B2" w:rsidRDefault="00D64EF0" w:rsidP="002200E7">
      <w:pPr>
        <w:spacing w:before="240"/>
        <w:ind w:left="720"/>
        <w:outlineLvl w:val="0"/>
        <w:rPr>
          <w:rFonts w:cs="Arial"/>
          <w:b/>
        </w:rPr>
      </w:pPr>
      <w:r w:rsidRPr="00B358B2">
        <w:rPr>
          <w:rFonts w:cs="Arial"/>
          <w:b/>
        </w:rPr>
        <w:t>F</w:t>
      </w:r>
      <w:r w:rsidR="00985B07" w:rsidRPr="00B358B2">
        <w:rPr>
          <w:rFonts w:cs="Arial"/>
          <w:b/>
        </w:rPr>
        <w:t>inancial Implications</w:t>
      </w:r>
    </w:p>
    <w:p w14:paraId="01C21544" w14:textId="77777777" w:rsidR="00DE038E" w:rsidRPr="00B358B2" w:rsidRDefault="00B61E2D" w:rsidP="00A03F7B">
      <w:pPr>
        <w:pStyle w:val="ListParagraph"/>
        <w:numPr>
          <w:ilvl w:val="0"/>
          <w:numId w:val="6"/>
        </w:numPr>
        <w:autoSpaceDE w:val="0"/>
        <w:autoSpaceDN w:val="0"/>
        <w:adjustRightInd w:val="0"/>
        <w:spacing w:after="0"/>
        <w:rPr>
          <w:rFonts w:cs="Arial"/>
        </w:rPr>
      </w:pPr>
      <w:r w:rsidRPr="00B358B2">
        <w:rPr>
          <w:rFonts w:eastAsia="Calibri" w:cs="Arial"/>
          <w:color w:val="auto"/>
          <w:lang w:eastAsia="en-US"/>
        </w:rPr>
        <w:t>T</w:t>
      </w:r>
      <w:r w:rsidR="00054F4E" w:rsidRPr="00B358B2">
        <w:rPr>
          <w:rFonts w:eastAsia="Calibri" w:cs="Arial"/>
          <w:color w:val="auto"/>
          <w:lang w:eastAsia="en-US"/>
        </w:rPr>
        <w:t>he Council is one of less than 4</w:t>
      </w:r>
      <w:r w:rsidRPr="00B358B2">
        <w:rPr>
          <w:rFonts w:eastAsia="Calibri" w:cs="Arial"/>
          <w:color w:val="auto"/>
          <w:lang w:eastAsia="en-US"/>
        </w:rPr>
        <w:t xml:space="preserve">0 </w:t>
      </w:r>
      <w:r w:rsidR="00690950" w:rsidRPr="00B358B2">
        <w:rPr>
          <w:rFonts w:eastAsia="Calibri" w:cs="Arial"/>
          <w:color w:val="auto"/>
          <w:lang w:eastAsia="en-US"/>
        </w:rPr>
        <w:t xml:space="preserve">councils in the country to maintain </w:t>
      </w:r>
      <w:r w:rsidR="00644567" w:rsidRPr="00B358B2">
        <w:rPr>
          <w:rFonts w:eastAsia="Calibri" w:cs="Arial"/>
          <w:color w:val="auto"/>
          <w:lang w:eastAsia="en-US"/>
        </w:rPr>
        <w:t>a 100% CTR</w:t>
      </w:r>
      <w:r w:rsidR="00690950" w:rsidRPr="00B358B2">
        <w:rPr>
          <w:rFonts w:eastAsia="Calibri" w:cs="Arial"/>
          <w:color w:val="auto"/>
          <w:lang w:eastAsia="en-US"/>
        </w:rPr>
        <w:t xml:space="preserve"> scheme for the payment of CTR </w:t>
      </w:r>
      <w:r w:rsidR="00544856" w:rsidRPr="00B358B2">
        <w:rPr>
          <w:rFonts w:eastAsia="Calibri" w:cs="Arial"/>
          <w:color w:val="auto"/>
          <w:lang w:eastAsia="en-US"/>
        </w:rPr>
        <w:t>i.e</w:t>
      </w:r>
      <w:r w:rsidR="0092468D" w:rsidRPr="00B358B2">
        <w:rPr>
          <w:rFonts w:eastAsia="Calibri" w:cs="Arial"/>
          <w:color w:val="auto"/>
          <w:lang w:eastAsia="en-US"/>
        </w:rPr>
        <w:t>.</w:t>
      </w:r>
      <w:r w:rsidR="00544856" w:rsidRPr="00B358B2">
        <w:rPr>
          <w:rFonts w:eastAsia="Calibri" w:cs="Arial"/>
          <w:color w:val="auto"/>
          <w:lang w:eastAsia="en-US"/>
        </w:rPr>
        <w:t xml:space="preserve"> one that requires no minimum payment of council tax but provides financial support </w:t>
      </w:r>
      <w:r w:rsidR="00332E59" w:rsidRPr="00B358B2">
        <w:rPr>
          <w:rFonts w:eastAsia="Calibri" w:cs="Arial"/>
          <w:color w:val="auto"/>
          <w:lang w:eastAsia="en-US"/>
        </w:rPr>
        <w:t>at much the same level for claimants as existed within the old Council Tax Benefit scheme</w:t>
      </w:r>
      <w:r w:rsidR="00544856" w:rsidRPr="00B358B2">
        <w:rPr>
          <w:rFonts w:eastAsia="Calibri" w:cs="Arial"/>
          <w:color w:val="auto"/>
          <w:lang w:eastAsia="en-US"/>
        </w:rPr>
        <w:t>,</w:t>
      </w:r>
      <w:r w:rsidR="00332E59" w:rsidRPr="00B358B2">
        <w:rPr>
          <w:rFonts w:eastAsia="Calibri" w:cs="Arial"/>
          <w:color w:val="auto"/>
          <w:lang w:eastAsia="en-US"/>
        </w:rPr>
        <w:t xml:space="preserve"> before the new CTR scheme came into force on 1</w:t>
      </w:r>
      <w:r w:rsidR="00332E59" w:rsidRPr="00B358B2">
        <w:rPr>
          <w:rFonts w:eastAsia="Calibri" w:cs="Arial"/>
          <w:color w:val="auto"/>
          <w:vertAlign w:val="superscript"/>
          <w:lang w:eastAsia="en-US"/>
        </w:rPr>
        <w:t>St</w:t>
      </w:r>
      <w:r w:rsidR="00332E59" w:rsidRPr="00B358B2">
        <w:rPr>
          <w:rFonts w:eastAsia="Calibri" w:cs="Arial"/>
          <w:color w:val="auto"/>
          <w:lang w:eastAsia="en-US"/>
        </w:rPr>
        <w:t xml:space="preserve"> April 2013. Most other councils have reduced the cost of their schemes by providing a lower level of support. </w:t>
      </w:r>
      <w:r w:rsidR="00DE038E" w:rsidRPr="00B358B2">
        <w:rPr>
          <w:rFonts w:cs="Arial"/>
        </w:rPr>
        <w:t>Whilst the Government initially provided funding for the new local schemes</w:t>
      </w:r>
      <w:r w:rsidR="00332E59" w:rsidRPr="00B358B2">
        <w:rPr>
          <w:rFonts w:cs="Arial"/>
        </w:rPr>
        <w:t>,</w:t>
      </w:r>
      <w:r w:rsidR="00DE038E" w:rsidRPr="00B358B2">
        <w:rPr>
          <w:rFonts w:cs="Arial"/>
        </w:rPr>
        <w:t xml:space="preserve"> the funding has reduced each year in line with the reduction in the Council’s Revenue Support Grant (RSG)</w:t>
      </w:r>
      <w:r w:rsidR="0092468D" w:rsidRPr="00B358B2">
        <w:rPr>
          <w:rFonts w:cs="Arial"/>
        </w:rPr>
        <w:t xml:space="preserve"> </w:t>
      </w:r>
      <w:r w:rsidR="00DE038E" w:rsidRPr="00B358B2">
        <w:rPr>
          <w:rFonts w:cs="Arial"/>
        </w:rPr>
        <w:t>which has now reduced to zero</w:t>
      </w:r>
      <w:r w:rsidR="00952689" w:rsidRPr="00B358B2">
        <w:rPr>
          <w:rFonts w:cs="Arial"/>
        </w:rPr>
        <w:t>,</w:t>
      </w:r>
      <w:r w:rsidR="00DE038E" w:rsidRPr="00B358B2">
        <w:rPr>
          <w:rFonts w:cs="Arial"/>
        </w:rPr>
        <w:t xml:space="preserve"> consequently no </w:t>
      </w:r>
      <w:r w:rsidR="00952689" w:rsidRPr="00B358B2">
        <w:rPr>
          <w:rFonts w:cs="Arial"/>
        </w:rPr>
        <w:t xml:space="preserve">Government </w:t>
      </w:r>
      <w:r w:rsidR="00DE038E" w:rsidRPr="00B358B2">
        <w:rPr>
          <w:rFonts w:cs="Arial"/>
        </w:rPr>
        <w:t>funding is provided towards the CTR Scheme</w:t>
      </w:r>
      <w:r w:rsidR="00A03F7B" w:rsidRPr="00B358B2">
        <w:rPr>
          <w:rFonts w:cs="Arial"/>
        </w:rPr>
        <w:t>.</w:t>
      </w:r>
    </w:p>
    <w:p w14:paraId="0DB67479" w14:textId="77777777" w:rsidR="00204C98" w:rsidRPr="00B358B2" w:rsidRDefault="00204C98" w:rsidP="00204C98">
      <w:pPr>
        <w:pStyle w:val="ListParagraph"/>
        <w:numPr>
          <w:ilvl w:val="0"/>
          <w:numId w:val="0"/>
        </w:numPr>
        <w:autoSpaceDE w:val="0"/>
        <w:autoSpaceDN w:val="0"/>
        <w:adjustRightInd w:val="0"/>
        <w:spacing w:after="0"/>
        <w:ind w:left="720"/>
        <w:rPr>
          <w:rFonts w:cs="Arial"/>
        </w:rPr>
      </w:pPr>
    </w:p>
    <w:p w14:paraId="2B9F043A" w14:textId="77777777" w:rsidR="00054F4E" w:rsidRPr="00B358B2" w:rsidRDefault="00054F4E" w:rsidP="00A03F7B">
      <w:pPr>
        <w:pStyle w:val="ListParagraph"/>
        <w:numPr>
          <w:ilvl w:val="0"/>
          <w:numId w:val="6"/>
        </w:numPr>
        <w:autoSpaceDE w:val="0"/>
        <w:autoSpaceDN w:val="0"/>
        <w:adjustRightInd w:val="0"/>
        <w:spacing w:after="0"/>
        <w:rPr>
          <w:rFonts w:cs="Arial"/>
        </w:rPr>
      </w:pPr>
      <w:r w:rsidRPr="00B358B2">
        <w:rPr>
          <w:rFonts w:eastAsia="Calibri" w:cs="Arial"/>
          <w:color w:val="auto"/>
          <w:lang w:eastAsia="en-US"/>
        </w:rPr>
        <w:t>Some authorities are considering or have returned to providing 100% support.</w:t>
      </w:r>
    </w:p>
    <w:p w14:paraId="0E71ED61" w14:textId="77777777" w:rsidR="00204C98" w:rsidRPr="00B358B2" w:rsidRDefault="00204C98" w:rsidP="00204C98">
      <w:pPr>
        <w:pStyle w:val="ListParagraph"/>
        <w:numPr>
          <w:ilvl w:val="0"/>
          <w:numId w:val="0"/>
        </w:numPr>
        <w:ind w:left="426"/>
        <w:rPr>
          <w:rFonts w:cs="Arial"/>
        </w:rPr>
      </w:pPr>
    </w:p>
    <w:p w14:paraId="43AC6094" w14:textId="3E9B17A2" w:rsidR="00BD0E2E" w:rsidRPr="008B39F1" w:rsidRDefault="00BD0E2E" w:rsidP="00204C98">
      <w:pPr>
        <w:pStyle w:val="ListParagraph"/>
        <w:numPr>
          <w:ilvl w:val="0"/>
          <w:numId w:val="6"/>
        </w:numPr>
        <w:autoSpaceDE w:val="0"/>
        <w:autoSpaceDN w:val="0"/>
        <w:adjustRightInd w:val="0"/>
        <w:spacing w:after="0"/>
        <w:rPr>
          <w:rFonts w:cs="Arial"/>
        </w:rPr>
      </w:pPr>
      <w:r w:rsidRPr="00B358B2">
        <w:rPr>
          <w:rFonts w:cs="Arial"/>
          <w:color w:val="auto"/>
        </w:rPr>
        <w:t xml:space="preserve">Due to Covid-19 the Council received a one off funding payment of £1.1m from Central Government </w:t>
      </w:r>
      <w:r w:rsidR="00BD1572" w:rsidRPr="00B358B2">
        <w:rPr>
          <w:rFonts w:cs="Arial"/>
          <w:color w:val="auto"/>
        </w:rPr>
        <w:t xml:space="preserve">for 2020/21 </w:t>
      </w:r>
      <w:r w:rsidRPr="00B358B2">
        <w:rPr>
          <w:rFonts w:cs="Arial"/>
          <w:color w:val="auto"/>
        </w:rPr>
        <w:t xml:space="preserve">as a hardship fund to help support CTR recipients with </w:t>
      </w:r>
      <w:r w:rsidR="007E46DC">
        <w:rPr>
          <w:rFonts w:cs="Arial"/>
          <w:color w:val="auto"/>
        </w:rPr>
        <w:t xml:space="preserve">the </w:t>
      </w:r>
      <w:r w:rsidRPr="00B358B2">
        <w:rPr>
          <w:rFonts w:cs="Arial"/>
          <w:color w:val="auto"/>
        </w:rPr>
        <w:t xml:space="preserve">payment of Council Tax. </w:t>
      </w:r>
      <w:r w:rsidR="008D158C" w:rsidRPr="00B358B2">
        <w:rPr>
          <w:rFonts w:cs="Arial"/>
          <w:color w:val="auto"/>
        </w:rPr>
        <w:t xml:space="preserve">The Government recommended </w:t>
      </w:r>
      <w:r w:rsidR="008D158C" w:rsidRPr="00B358B2">
        <w:rPr>
          <w:rFonts w:cs="Arial"/>
          <w:color w:val="auto"/>
        </w:rPr>
        <w:lastRenderedPageBreak/>
        <w:t xml:space="preserve">payments of up to £150 to cover outstanding council tax liability although given the </w:t>
      </w:r>
      <w:r w:rsidR="00332E59" w:rsidRPr="00B358B2">
        <w:rPr>
          <w:rFonts w:cs="Arial"/>
          <w:color w:val="auto"/>
        </w:rPr>
        <w:t>Council</w:t>
      </w:r>
      <w:r w:rsidR="007E46DC">
        <w:rPr>
          <w:rFonts w:cs="Arial"/>
          <w:color w:val="auto"/>
        </w:rPr>
        <w:t>’</w:t>
      </w:r>
      <w:r w:rsidR="00332E59" w:rsidRPr="00B358B2">
        <w:rPr>
          <w:rFonts w:cs="Arial"/>
          <w:color w:val="auto"/>
        </w:rPr>
        <w:t>s 1</w:t>
      </w:r>
      <w:r w:rsidR="00690950" w:rsidRPr="00B358B2">
        <w:rPr>
          <w:rFonts w:cs="Arial"/>
          <w:color w:val="auto"/>
        </w:rPr>
        <w:t>00% funded CTR scheme the Council</w:t>
      </w:r>
      <w:r w:rsidR="00332E59" w:rsidRPr="00B358B2">
        <w:rPr>
          <w:rFonts w:cs="Arial"/>
          <w:color w:val="auto"/>
        </w:rPr>
        <w:t xml:space="preserve"> </w:t>
      </w:r>
      <w:r w:rsidR="00690950" w:rsidRPr="00B358B2">
        <w:rPr>
          <w:rFonts w:cs="Arial"/>
          <w:color w:val="auto"/>
        </w:rPr>
        <w:t xml:space="preserve">has been able to increase this </w:t>
      </w:r>
      <w:r w:rsidR="00BD1572" w:rsidRPr="00B358B2">
        <w:rPr>
          <w:rFonts w:cs="Arial"/>
          <w:color w:val="auto"/>
        </w:rPr>
        <w:t xml:space="preserve">up to </w:t>
      </w:r>
      <w:r w:rsidRPr="00B358B2">
        <w:rPr>
          <w:rFonts w:cs="Arial"/>
          <w:color w:val="auto"/>
        </w:rPr>
        <w:t xml:space="preserve">£250 </w:t>
      </w:r>
      <w:r w:rsidR="00332E59" w:rsidRPr="00B358B2">
        <w:rPr>
          <w:rFonts w:cs="Arial"/>
          <w:color w:val="auto"/>
        </w:rPr>
        <w:t>as a discount towards</w:t>
      </w:r>
      <w:r w:rsidRPr="00B358B2">
        <w:rPr>
          <w:rFonts w:cs="Arial"/>
          <w:color w:val="auto"/>
        </w:rPr>
        <w:t xml:space="preserve"> </w:t>
      </w:r>
      <w:r w:rsidR="00BD1572" w:rsidRPr="00B358B2">
        <w:rPr>
          <w:rFonts w:cs="Arial"/>
          <w:color w:val="auto"/>
        </w:rPr>
        <w:t xml:space="preserve"> </w:t>
      </w:r>
      <w:r w:rsidR="00952689" w:rsidRPr="00B358B2">
        <w:rPr>
          <w:rFonts w:cs="Arial"/>
          <w:color w:val="auto"/>
        </w:rPr>
        <w:t xml:space="preserve">the residual element of </w:t>
      </w:r>
      <w:r w:rsidR="00BD1572" w:rsidRPr="00B358B2">
        <w:rPr>
          <w:rFonts w:cs="Arial"/>
          <w:color w:val="auto"/>
        </w:rPr>
        <w:t>Council Tax</w:t>
      </w:r>
      <w:r w:rsidR="00952689" w:rsidRPr="00B358B2">
        <w:rPr>
          <w:rFonts w:cs="Arial"/>
          <w:color w:val="auto"/>
        </w:rPr>
        <w:t>.</w:t>
      </w:r>
      <w:r w:rsidRPr="00B358B2">
        <w:rPr>
          <w:rFonts w:cs="Arial"/>
          <w:color w:val="auto"/>
        </w:rPr>
        <w:t xml:space="preserve"> </w:t>
      </w:r>
      <w:r w:rsidR="00204C98" w:rsidRPr="00A66429">
        <w:rPr>
          <w:rFonts w:cs="Arial"/>
          <w:color w:val="auto"/>
        </w:rPr>
        <w:t>From 2022 this fund will not be available but anyone in difficulty can apply for a discretionary discount as in previous years.</w:t>
      </w:r>
    </w:p>
    <w:p w14:paraId="4701EC66" w14:textId="77777777" w:rsidR="004D1BE5" w:rsidRPr="00B358B2" w:rsidRDefault="004D1BE5" w:rsidP="004D1BE5">
      <w:pPr>
        <w:pStyle w:val="ListParagraph"/>
        <w:numPr>
          <w:ilvl w:val="0"/>
          <w:numId w:val="0"/>
        </w:numPr>
        <w:ind w:left="426"/>
        <w:rPr>
          <w:rFonts w:cs="Arial"/>
        </w:rPr>
      </w:pPr>
    </w:p>
    <w:p w14:paraId="2FD6EEB4" w14:textId="22D97DC3" w:rsidR="00095434" w:rsidRPr="00B358B2" w:rsidRDefault="004D1BE5" w:rsidP="00095434">
      <w:pPr>
        <w:pStyle w:val="ListParagraph"/>
        <w:numPr>
          <w:ilvl w:val="0"/>
          <w:numId w:val="6"/>
        </w:numPr>
        <w:autoSpaceDE w:val="0"/>
        <w:autoSpaceDN w:val="0"/>
        <w:adjustRightInd w:val="0"/>
        <w:spacing w:after="0"/>
        <w:rPr>
          <w:rFonts w:cs="Arial"/>
        </w:rPr>
      </w:pPr>
      <w:r w:rsidRPr="00B358B2">
        <w:rPr>
          <w:rFonts w:cs="Arial"/>
          <w:color w:val="auto"/>
        </w:rPr>
        <w:t xml:space="preserve">When the tax base for </w:t>
      </w:r>
      <w:r w:rsidR="00C751FF">
        <w:rPr>
          <w:rFonts w:cs="Arial"/>
          <w:color w:val="auto"/>
        </w:rPr>
        <w:t>20</w:t>
      </w:r>
      <w:r w:rsidRPr="00B358B2">
        <w:rPr>
          <w:rFonts w:cs="Arial"/>
          <w:color w:val="auto"/>
        </w:rPr>
        <w:t xml:space="preserve">21/22 was estimated </w:t>
      </w:r>
      <w:r w:rsidR="00C751FF">
        <w:rPr>
          <w:rFonts w:cs="Arial"/>
          <w:color w:val="auto"/>
        </w:rPr>
        <w:t xml:space="preserve">in January 2021 </w:t>
      </w:r>
      <w:r w:rsidRPr="00B358B2">
        <w:rPr>
          <w:rFonts w:cs="Arial"/>
          <w:color w:val="auto"/>
        </w:rPr>
        <w:t>a gross figure of £11.874m was included as the estimate of CTR expenditure for the year. As at Nov 1</w:t>
      </w:r>
      <w:r w:rsidRPr="00B358B2">
        <w:rPr>
          <w:rFonts w:cs="Arial"/>
          <w:color w:val="auto"/>
          <w:vertAlign w:val="superscript"/>
        </w:rPr>
        <w:t>st</w:t>
      </w:r>
      <w:r w:rsidR="009B13EE">
        <w:rPr>
          <w:rFonts w:cs="Arial"/>
          <w:color w:val="auto"/>
        </w:rPr>
        <w:t xml:space="preserve"> 2021 expenditure on CTR</w:t>
      </w:r>
      <w:r w:rsidRPr="00B358B2">
        <w:rPr>
          <w:rFonts w:cs="Arial"/>
          <w:color w:val="auto"/>
        </w:rPr>
        <w:t xml:space="preserve"> was £12.621m</w:t>
      </w:r>
      <w:r w:rsidR="007E46DC">
        <w:rPr>
          <w:rFonts w:cs="Arial"/>
          <w:color w:val="auto"/>
        </w:rPr>
        <w:t>,</w:t>
      </w:r>
      <w:r w:rsidR="00C751FF">
        <w:rPr>
          <w:rFonts w:cs="Arial"/>
          <w:color w:val="auto"/>
        </w:rPr>
        <w:t xml:space="preserve"> an increase of around £747k</w:t>
      </w:r>
      <w:r w:rsidR="007E46DC">
        <w:rPr>
          <w:rFonts w:cs="Arial"/>
          <w:color w:val="auto"/>
        </w:rPr>
        <w:t xml:space="preserve"> or</w:t>
      </w:r>
      <w:r w:rsidR="00C751FF">
        <w:rPr>
          <w:rFonts w:cs="Arial"/>
          <w:color w:val="auto"/>
        </w:rPr>
        <w:t xml:space="preserve"> 6.3%</w:t>
      </w:r>
      <w:r w:rsidRPr="00B358B2">
        <w:rPr>
          <w:rFonts w:cs="Arial"/>
          <w:color w:val="auto"/>
        </w:rPr>
        <w:t xml:space="preserve">. The City’s share of this </w:t>
      </w:r>
      <w:r w:rsidR="00C751FF">
        <w:rPr>
          <w:rFonts w:cs="Arial"/>
          <w:color w:val="auto"/>
        </w:rPr>
        <w:t xml:space="preserve">revised estimated spend </w:t>
      </w:r>
      <w:r w:rsidRPr="00B358B2">
        <w:rPr>
          <w:rFonts w:cs="Arial"/>
          <w:color w:val="auto"/>
        </w:rPr>
        <w:t>is £1.932m</w:t>
      </w:r>
      <w:r w:rsidR="009B13EE">
        <w:rPr>
          <w:rFonts w:cs="Arial"/>
          <w:color w:val="auto"/>
        </w:rPr>
        <w:t>,</w:t>
      </w:r>
      <w:r w:rsidR="00C751FF">
        <w:rPr>
          <w:rFonts w:cs="Arial"/>
          <w:color w:val="auto"/>
        </w:rPr>
        <w:t xml:space="preserve"> an increase of £114k on that estimated. This in</w:t>
      </w:r>
      <w:r w:rsidR="009B13EE">
        <w:rPr>
          <w:rFonts w:cs="Arial"/>
          <w:color w:val="auto"/>
        </w:rPr>
        <w:t xml:space="preserve">crease in CTR </w:t>
      </w:r>
      <w:r w:rsidR="00C751FF">
        <w:rPr>
          <w:rFonts w:cs="Arial"/>
          <w:color w:val="auto"/>
        </w:rPr>
        <w:t>spend will be factored into budget setting for 2022-23</w:t>
      </w:r>
      <w:r w:rsidR="00463DD7">
        <w:rPr>
          <w:rFonts w:cs="Arial"/>
          <w:color w:val="auto"/>
        </w:rPr>
        <w:t>.</w:t>
      </w:r>
    </w:p>
    <w:p w14:paraId="63904D93" w14:textId="77777777" w:rsidR="00095434" w:rsidRPr="00B358B2" w:rsidRDefault="00095434" w:rsidP="00095434">
      <w:pPr>
        <w:pStyle w:val="ListParagraph"/>
        <w:numPr>
          <w:ilvl w:val="0"/>
          <w:numId w:val="0"/>
        </w:numPr>
        <w:autoSpaceDE w:val="0"/>
        <w:autoSpaceDN w:val="0"/>
        <w:adjustRightInd w:val="0"/>
        <w:spacing w:after="0"/>
        <w:ind w:left="720"/>
        <w:rPr>
          <w:rFonts w:cs="Arial"/>
        </w:rPr>
      </w:pPr>
    </w:p>
    <w:p w14:paraId="31FCE69B" w14:textId="77777777" w:rsidR="00A05F90" w:rsidRPr="00A577A9" w:rsidRDefault="00082D37" w:rsidP="00A577A9">
      <w:pPr>
        <w:pStyle w:val="ListParagraph"/>
        <w:numPr>
          <w:ilvl w:val="0"/>
          <w:numId w:val="6"/>
        </w:numPr>
        <w:autoSpaceDE w:val="0"/>
        <w:autoSpaceDN w:val="0"/>
        <w:rPr>
          <w:rFonts w:cs="Arial"/>
          <w:color w:val="auto"/>
        </w:rPr>
      </w:pPr>
      <w:r w:rsidRPr="00B358B2">
        <w:rPr>
          <w:rFonts w:cs="Arial"/>
          <w:color w:val="auto"/>
        </w:rPr>
        <w:t>By continuing to award up to 100% CTR this continues to support the residents of Oxford from going further into poverty and building up Council Tax debts. It is important that those on low incomes are not penalised by reducing the support currently available.</w:t>
      </w:r>
    </w:p>
    <w:p w14:paraId="4E2798DB" w14:textId="77777777" w:rsidR="00A05F90" w:rsidRPr="00B358B2" w:rsidRDefault="00BC1E04" w:rsidP="001D215B">
      <w:pPr>
        <w:pStyle w:val="ListParagraph"/>
        <w:numPr>
          <w:ilvl w:val="0"/>
          <w:numId w:val="6"/>
        </w:numPr>
        <w:autoSpaceDE w:val="0"/>
        <w:autoSpaceDN w:val="0"/>
        <w:rPr>
          <w:rFonts w:cs="Arial"/>
          <w:color w:val="auto"/>
        </w:rPr>
      </w:pPr>
      <w:r w:rsidRPr="00B358B2">
        <w:rPr>
          <w:rFonts w:cs="Arial"/>
        </w:rPr>
        <w:t>Staff savings of £70k were achieved in the Benefits Team as a result of moving to an Income Banded Scheme for all Working age claimants in 2021.</w:t>
      </w:r>
    </w:p>
    <w:p w14:paraId="6EFA4306" w14:textId="77777777" w:rsidR="00FD1632" w:rsidRDefault="0073753B" w:rsidP="00734F9A">
      <w:pPr>
        <w:pStyle w:val="ListParagraph"/>
        <w:numPr>
          <w:ilvl w:val="0"/>
          <w:numId w:val="6"/>
        </w:numPr>
        <w:autoSpaceDE w:val="0"/>
        <w:autoSpaceDN w:val="0"/>
        <w:rPr>
          <w:rFonts w:cs="Arial"/>
          <w:color w:val="auto"/>
        </w:rPr>
      </w:pPr>
      <w:r w:rsidRPr="00FD1632">
        <w:rPr>
          <w:rFonts w:cs="Arial"/>
          <w:color w:val="auto"/>
        </w:rPr>
        <w:t>The scheme is administered alongside payment of Housing Benefit by 24.8 FTE staff at a gross cost of £1.00m per annum for 2021-22 .Central Government issues a grant to compensate local authorities for the cost of administering Local Council Tax Support (LCTS) and Housing Benefit. For 2021/22 OCC will receive £174,819 for CTR administration, and Housing Benefit Administration grant of £397,420. With some other smaller grants for increased workloads this results in a net annual cost for administration of both Housing Benefit and CTR of £427,342. As universal credit is rolled out the administration grant is likely to be reduced further as will the cost of administration. Provision has been made in the Council MTFS for both these eventualities.</w:t>
      </w:r>
    </w:p>
    <w:p w14:paraId="27FC3D33" w14:textId="11EA1DFD" w:rsidR="001B700B" w:rsidRPr="00FD1632" w:rsidRDefault="00185FA5" w:rsidP="00734F9A">
      <w:pPr>
        <w:pStyle w:val="ListParagraph"/>
        <w:numPr>
          <w:ilvl w:val="0"/>
          <w:numId w:val="6"/>
        </w:numPr>
        <w:autoSpaceDE w:val="0"/>
        <w:autoSpaceDN w:val="0"/>
        <w:rPr>
          <w:rFonts w:cs="Arial"/>
          <w:color w:val="auto"/>
        </w:rPr>
      </w:pPr>
      <w:r w:rsidRPr="00FD1632">
        <w:rPr>
          <w:rFonts w:cs="Arial"/>
        </w:rPr>
        <w:t>The</w:t>
      </w:r>
      <w:r w:rsidR="005F54B4" w:rsidRPr="00FD1632">
        <w:rPr>
          <w:rFonts w:cs="Arial"/>
        </w:rPr>
        <w:t xml:space="preserve"> proposed changes to the scheme </w:t>
      </w:r>
      <w:r w:rsidR="00AE4558" w:rsidRPr="00FD1632">
        <w:rPr>
          <w:rFonts w:cs="Arial"/>
        </w:rPr>
        <w:t xml:space="preserve">may </w:t>
      </w:r>
      <w:r w:rsidR="00296BD9" w:rsidRPr="00FD1632">
        <w:rPr>
          <w:rFonts w:cs="Arial"/>
        </w:rPr>
        <w:t>increase</w:t>
      </w:r>
      <w:r w:rsidR="00EC490E" w:rsidRPr="00FD1632">
        <w:rPr>
          <w:rFonts w:cs="Arial"/>
        </w:rPr>
        <w:t xml:space="preserve"> the scheme’s cost</w:t>
      </w:r>
      <w:r w:rsidR="00AE4558" w:rsidRPr="00FD1632">
        <w:rPr>
          <w:rFonts w:cs="Arial"/>
        </w:rPr>
        <w:t xml:space="preserve"> slightly</w:t>
      </w:r>
      <w:r w:rsidR="005F54B4" w:rsidRPr="00FD1632">
        <w:rPr>
          <w:rFonts w:cs="Arial"/>
        </w:rPr>
        <w:t xml:space="preserve">. The bandings in the income band scheme are being uprated in line with expected </w:t>
      </w:r>
      <w:r w:rsidR="00EB7341" w:rsidRPr="00FD1632">
        <w:rPr>
          <w:rFonts w:cs="Arial"/>
        </w:rPr>
        <w:t xml:space="preserve">increases in wages, and so this change should ensure current recipients of support stay in the same band as their </w:t>
      </w:r>
      <w:r w:rsidR="0003295F" w:rsidRPr="00FD1632">
        <w:rPr>
          <w:rFonts w:cs="Arial"/>
        </w:rPr>
        <w:t>income increases</w:t>
      </w:r>
      <w:r w:rsidR="00EB7341" w:rsidRPr="00FD1632">
        <w:rPr>
          <w:rFonts w:cs="Arial"/>
        </w:rPr>
        <w:t xml:space="preserve">. </w:t>
      </w:r>
      <w:r w:rsidR="00AE4558" w:rsidRPr="00FD1632">
        <w:rPr>
          <w:rFonts w:cs="Arial"/>
        </w:rPr>
        <w:t>With furlough ending and seasonal work going through peaks and troughs, it is unclear if we will see any increase in claimants as the jobs market is buoyant at present.</w:t>
      </w:r>
    </w:p>
    <w:p w14:paraId="12C4A7F8" w14:textId="46002125" w:rsidR="00A05F90" w:rsidRPr="00B358B2" w:rsidRDefault="001B700B" w:rsidP="00977A4D">
      <w:pPr>
        <w:pStyle w:val="ListParagraph"/>
        <w:numPr>
          <w:ilvl w:val="0"/>
          <w:numId w:val="6"/>
        </w:numPr>
        <w:autoSpaceDE w:val="0"/>
        <w:autoSpaceDN w:val="0"/>
        <w:rPr>
          <w:rFonts w:cs="Arial"/>
          <w:color w:val="auto"/>
        </w:rPr>
      </w:pPr>
      <w:r w:rsidRPr="00B358B2">
        <w:rPr>
          <w:rFonts w:cs="Arial"/>
          <w:color w:val="auto"/>
        </w:rPr>
        <w:t xml:space="preserve">Universal Credit changes, </w:t>
      </w:r>
      <w:r w:rsidR="007E46DC">
        <w:rPr>
          <w:rFonts w:cs="Arial"/>
          <w:color w:val="auto"/>
        </w:rPr>
        <w:t>w</w:t>
      </w:r>
      <w:r w:rsidRPr="00B358B2">
        <w:rPr>
          <w:rFonts w:cs="Arial"/>
          <w:color w:val="auto"/>
        </w:rPr>
        <w:t xml:space="preserve">age increases and National Insurance Contribution </w:t>
      </w:r>
      <w:r w:rsidR="007E46DC">
        <w:rPr>
          <w:rFonts w:cs="Arial"/>
          <w:color w:val="auto"/>
        </w:rPr>
        <w:t>i</w:t>
      </w:r>
      <w:r w:rsidRPr="00B358B2">
        <w:rPr>
          <w:rFonts w:cs="Arial"/>
          <w:color w:val="auto"/>
        </w:rPr>
        <w:t>ncreases are likely to balance each other out.</w:t>
      </w:r>
    </w:p>
    <w:p w14:paraId="1D6C91CA" w14:textId="77777777" w:rsidR="00185FA5" w:rsidRPr="00B358B2" w:rsidRDefault="00185FA5" w:rsidP="002200E7">
      <w:pPr>
        <w:spacing w:before="240"/>
        <w:ind w:left="720"/>
        <w:outlineLvl w:val="0"/>
        <w:rPr>
          <w:rFonts w:cs="Arial"/>
          <w:b/>
        </w:rPr>
      </w:pPr>
      <w:r w:rsidRPr="00B358B2">
        <w:rPr>
          <w:rFonts w:cs="Arial"/>
          <w:b/>
        </w:rPr>
        <w:t>Legal issues</w:t>
      </w:r>
    </w:p>
    <w:p w14:paraId="3DFADF33" w14:textId="0E0466C8" w:rsidR="00D524B5" w:rsidRPr="000E7993" w:rsidRDefault="00D524B5" w:rsidP="000E7993">
      <w:pPr>
        <w:pStyle w:val="ListParagraph"/>
        <w:numPr>
          <w:ilvl w:val="0"/>
          <w:numId w:val="6"/>
        </w:numPr>
        <w:autoSpaceDE w:val="0"/>
        <w:autoSpaceDN w:val="0"/>
        <w:adjustRightInd w:val="0"/>
        <w:spacing w:after="0"/>
        <w:rPr>
          <w:rFonts w:cs="Arial"/>
          <w:color w:val="auto"/>
        </w:rPr>
      </w:pPr>
      <w:r w:rsidRPr="000E7993">
        <w:rPr>
          <w:rFonts w:cs="Arial"/>
          <w:color w:val="auto"/>
        </w:rPr>
        <w:t>Local Council Tax Support came into effect on 1 April 2013 pursuant to the Local</w:t>
      </w:r>
      <w:r>
        <w:rPr>
          <w:rFonts w:cs="Arial"/>
          <w:color w:val="auto"/>
        </w:rPr>
        <w:t xml:space="preserve"> </w:t>
      </w:r>
      <w:r w:rsidRPr="000E7993">
        <w:rPr>
          <w:rFonts w:cs="Arial"/>
          <w:color w:val="auto"/>
        </w:rPr>
        <w:t>Government Finance Act 1992. Section 13A(2) of that Act (as amended) provides:</w:t>
      </w:r>
    </w:p>
    <w:p w14:paraId="5C5181D1" w14:textId="7048C94C" w:rsidR="00D524B5" w:rsidRDefault="00D524B5" w:rsidP="000E7993">
      <w:pPr>
        <w:autoSpaceDE w:val="0"/>
        <w:autoSpaceDN w:val="0"/>
        <w:adjustRightInd w:val="0"/>
        <w:spacing w:after="0"/>
        <w:ind w:firstLine="720"/>
        <w:rPr>
          <w:rFonts w:cs="Arial"/>
          <w:color w:val="auto"/>
        </w:rPr>
      </w:pPr>
      <w:r>
        <w:rPr>
          <w:rFonts w:cs="Arial"/>
          <w:color w:val="auto"/>
        </w:rPr>
        <w:t>Each billing authority in England must make a scheme specifying the reductions</w:t>
      </w:r>
    </w:p>
    <w:p w14:paraId="3DEE040B" w14:textId="77777777" w:rsidR="00D524B5" w:rsidRDefault="00D524B5" w:rsidP="000E7993">
      <w:pPr>
        <w:autoSpaceDE w:val="0"/>
        <w:autoSpaceDN w:val="0"/>
        <w:adjustRightInd w:val="0"/>
        <w:spacing w:after="0"/>
        <w:ind w:firstLine="720"/>
        <w:rPr>
          <w:rFonts w:cs="Arial"/>
          <w:color w:val="auto"/>
        </w:rPr>
      </w:pPr>
      <w:proofErr w:type="gramStart"/>
      <w:r>
        <w:rPr>
          <w:rFonts w:cs="Arial"/>
          <w:color w:val="auto"/>
        </w:rPr>
        <w:t>which</w:t>
      </w:r>
      <w:proofErr w:type="gramEnd"/>
      <w:r>
        <w:rPr>
          <w:rFonts w:cs="Arial"/>
          <w:color w:val="auto"/>
        </w:rPr>
        <w:t xml:space="preserve"> are to apply to amounts of council tax payable, in respect of dwellings</w:t>
      </w:r>
    </w:p>
    <w:p w14:paraId="6F1E0105" w14:textId="335F4AD7" w:rsidR="00D524B5" w:rsidRDefault="00D524B5" w:rsidP="000E7993">
      <w:pPr>
        <w:autoSpaceDE w:val="0"/>
        <w:autoSpaceDN w:val="0"/>
        <w:adjustRightInd w:val="0"/>
        <w:spacing w:after="0"/>
        <w:ind w:firstLine="720"/>
        <w:rPr>
          <w:rFonts w:cs="Arial"/>
          <w:color w:val="auto"/>
        </w:rPr>
      </w:pPr>
      <w:r>
        <w:rPr>
          <w:rFonts w:cs="Arial"/>
          <w:color w:val="auto"/>
        </w:rPr>
        <w:t xml:space="preserve"> </w:t>
      </w:r>
      <w:proofErr w:type="gramStart"/>
      <w:r>
        <w:rPr>
          <w:rFonts w:cs="Arial"/>
          <w:color w:val="auto"/>
        </w:rPr>
        <w:t>in</w:t>
      </w:r>
      <w:proofErr w:type="gramEnd"/>
      <w:r>
        <w:rPr>
          <w:rFonts w:cs="Arial"/>
          <w:color w:val="auto"/>
        </w:rPr>
        <w:t xml:space="preserve"> its area, by—</w:t>
      </w:r>
    </w:p>
    <w:p w14:paraId="6D1A13A6" w14:textId="114CD3CB" w:rsidR="00D524B5" w:rsidRDefault="00D524B5" w:rsidP="000E7993">
      <w:pPr>
        <w:autoSpaceDE w:val="0"/>
        <w:autoSpaceDN w:val="0"/>
        <w:adjustRightInd w:val="0"/>
        <w:spacing w:after="0"/>
        <w:ind w:firstLine="720"/>
        <w:rPr>
          <w:rFonts w:cs="Arial"/>
          <w:color w:val="auto"/>
        </w:rPr>
      </w:pPr>
      <w:r>
        <w:rPr>
          <w:rFonts w:cs="Arial"/>
          <w:color w:val="auto"/>
        </w:rPr>
        <w:t xml:space="preserve">(a) </w:t>
      </w:r>
      <w:proofErr w:type="gramStart"/>
      <w:r>
        <w:rPr>
          <w:rFonts w:cs="Arial"/>
          <w:color w:val="auto"/>
        </w:rPr>
        <w:t>persons</w:t>
      </w:r>
      <w:proofErr w:type="gramEnd"/>
      <w:r>
        <w:rPr>
          <w:rFonts w:cs="Arial"/>
          <w:color w:val="auto"/>
        </w:rPr>
        <w:t xml:space="preserve"> whom the authority considers to be in financial need, or</w:t>
      </w:r>
    </w:p>
    <w:p w14:paraId="2E211249" w14:textId="3F6B9AA0" w:rsidR="00D524B5" w:rsidRDefault="00D524B5" w:rsidP="000E7993">
      <w:pPr>
        <w:autoSpaceDE w:val="0"/>
        <w:autoSpaceDN w:val="0"/>
        <w:adjustRightInd w:val="0"/>
        <w:spacing w:after="0"/>
        <w:ind w:left="720"/>
        <w:rPr>
          <w:rFonts w:cs="Arial"/>
          <w:color w:val="auto"/>
        </w:rPr>
      </w:pPr>
      <w:r>
        <w:rPr>
          <w:rFonts w:cs="Arial"/>
          <w:color w:val="auto"/>
        </w:rPr>
        <w:t xml:space="preserve">(b) </w:t>
      </w:r>
      <w:proofErr w:type="gramStart"/>
      <w:r>
        <w:rPr>
          <w:rFonts w:cs="Arial"/>
          <w:color w:val="auto"/>
        </w:rPr>
        <w:t>persons</w:t>
      </w:r>
      <w:proofErr w:type="gramEnd"/>
      <w:r>
        <w:rPr>
          <w:rFonts w:cs="Arial"/>
          <w:color w:val="auto"/>
        </w:rPr>
        <w:t xml:space="preserve"> in classes consisting of persons whom the authority considers to be, in</w:t>
      </w:r>
      <w:r w:rsidR="00FC1D75">
        <w:rPr>
          <w:rFonts w:cs="Arial"/>
          <w:color w:val="auto"/>
        </w:rPr>
        <w:t xml:space="preserve"> </w:t>
      </w:r>
      <w:r>
        <w:rPr>
          <w:rFonts w:cs="Arial"/>
          <w:color w:val="auto"/>
        </w:rPr>
        <w:t>general, in financial need.’</w:t>
      </w:r>
    </w:p>
    <w:p w14:paraId="0ED66024" w14:textId="77777777" w:rsidR="00FC1D75" w:rsidRDefault="00FC1D75" w:rsidP="00FC1D75">
      <w:pPr>
        <w:autoSpaceDE w:val="0"/>
        <w:autoSpaceDN w:val="0"/>
        <w:adjustRightInd w:val="0"/>
        <w:spacing w:after="0"/>
        <w:rPr>
          <w:rFonts w:cs="Arial"/>
          <w:color w:val="auto"/>
        </w:rPr>
      </w:pPr>
    </w:p>
    <w:p w14:paraId="45C73F01" w14:textId="7DBBE3EB" w:rsidR="00D524B5" w:rsidRPr="000E7993" w:rsidRDefault="00D524B5" w:rsidP="000E7993">
      <w:pPr>
        <w:pStyle w:val="ListParagraph"/>
        <w:numPr>
          <w:ilvl w:val="0"/>
          <w:numId w:val="6"/>
        </w:numPr>
        <w:autoSpaceDE w:val="0"/>
        <w:autoSpaceDN w:val="0"/>
        <w:adjustRightInd w:val="0"/>
        <w:spacing w:after="0"/>
        <w:rPr>
          <w:rFonts w:cs="Arial"/>
          <w:color w:val="auto"/>
        </w:rPr>
      </w:pPr>
      <w:r w:rsidRPr="000E7993">
        <w:rPr>
          <w:rFonts w:cs="Arial"/>
          <w:color w:val="auto"/>
        </w:rPr>
        <w:t>Schedule 1A of that Act prescribes what must be included in a Council Tax</w:t>
      </w:r>
    </w:p>
    <w:p w14:paraId="07C8E3F5" w14:textId="77777777" w:rsidR="00D524B5" w:rsidRDefault="00D524B5" w:rsidP="000E7993">
      <w:pPr>
        <w:autoSpaceDE w:val="0"/>
        <w:autoSpaceDN w:val="0"/>
        <w:adjustRightInd w:val="0"/>
        <w:spacing w:after="0"/>
        <w:ind w:firstLine="720"/>
        <w:rPr>
          <w:rFonts w:cs="Arial"/>
          <w:color w:val="auto"/>
        </w:rPr>
      </w:pPr>
      <w:r>
        <w:rPr>
          <w:rFonts w:cs="Arial"/>
          <w:color w:val="auto"/>
        </w:rPr>
        <w:t>Reduction Scheme, and places a duty on the authority, each financial year, to</w:t>
      </w:r>
    </w:p>
    <w:p w14:paraId="40DDD245" w14:textId="77777777" w:rsidR="00D524B5" w:rsidRDefault="00D524B5" w:rsidP="000E7993">
      <w:pPr>
        <w:autoSpaceDE w:val="0"/>
        <w:autoSpaceDN w:val="0"/>
        <w:adjustRightInd w:val="0"/>
        <w:spacing w:after="0"/>
        <w:ind w:firstLine="720"/>
        <w:rPr>
          <w:rFonts w:cs="Arial"/>
          <w:color w:val="auto"/>
        </w:rPr>
      </w:pPr>
      <w:proofErr w:type="gramStart"/>
      <w:r>
        <w:rPr>
          <w:rFonts w:cs="Arial"/>
          <w:color w:val="auto"/>
        </w:rPr>
        <w:t>consider</w:t>
      </w:r>
      <w:proofErr w:type="gramEnd"/>
      <w:r>
        <w:rPr>
          <w:rFonts w:cs="Arial"/>
          <w:color w:val="auto"/>
        </w:rPr>
        <w:t xml:space="preserve"> whether to revise its scheme or replace it with another scheme. The</w:t>
      </w:r>
    </w:p>
    <w:p w14:paraId="10FF39DA" w14:textId="77777777" w:rsidR="00FC1D75" w:rsidRDefault="00D524B5" w:rsidP="000E7993">
      <w:pPr>
        <w:autoSpaceDE w:val="0"/>
        <w:autoSpaceDN w:val="0"/>
        <w:adjustRightInd w:val="0"/>
        <w:spacing w:after="0"/>
        <w:ind w:left="720"/>
        <w:rPr>
          <w:rFonts w:cs="Arial"/>
          <w:color w:val="auto"/>
        </w:rPr>
      </w:pPr>
      <w:proofErr w:type="gramStart"/>
      <w:r>
        <w:rPr>
          <w:rFonts w:cs="Arial"/>
          <w:color w:val="auto"/>
        </w:rPr>
        <w:t>scheme</w:t>
      </w:r>
      <w:proofErr w:type="gramEnd"/>
      <w:r>
        <w:rPr>
          <w:rFonts w:cs="Arial"/>
          <w:color w:val="auto"/>
        </w:rPr>
        <w:t xml:space="preserve"> states the classes of person who are to be entitled to a reduction, the type</w:t>
      </w:r>
      <w:r w:rsidR="00FC1D75">
        <w:rPr>
          <w:rFonts w:cs="Arial"/>
          <w:color w:val="auto"/>
        </w:rPr>
        <w:t xml:space="preserve"> </w:t>
      </w:r>
      <w:r>
        <w:rPr>
          <w:rFonts w:cs="Arial"/>
          <w:color w:val="auto"/>
        </w:rPr>
        <w:t>of reduction and whether there are different reductions for different classes. The</w:t>
      </w:r>
      <w:r w:rsidR="00FC1D75">
        <w:rPr>
          <w:rFonts w:cs="Arial"/>
          <w:color w:val="auto"/>
        </w:rPr>
        <w:t xml:space="preserve"> </w:t>
      </w:r>
      <w:r>
        <w:rPr>
          <w:rFonts w:cs="Arial"/>
          <w:color w:val="auto"/>
        </w:rPr>
        <w:t>scheme should also set out the procedure to apply for a reduction and the appeal</w:t>
      </w:r>
      <w:r w:rsidR="00FC1D75">
        <w:rPr>
          <w:rFonts w:cs="Arial"/>
          <w:color w:val="auto"/>
        </w:rPr>
        <w:t xml:space="preserve"> </w:t>
      </w:r>
      <w:r>
        <w:rPr>
          <w:rFonts w:cs="Arial"/>
          <w:color w:val="auto"/>
        </w:rPr>
        <w:t>procedure.</w:t>
      </w:r>
    </w:p>
    <w:p w14:paraId="0357CBDD" w14:textId="77777777" w:rsidR="00FC1D75" w:rsidRDefault="00FC1D75" w:rsidP="000E7993">
      <w:pPr>
        <w:autoSpaceDE w:val="0"/>
        <w:autoSpaceDN w:val="0"/>
        <w:adjustRightInd w:val="0"/>
        <w:spacing w:after="0"/>
        <w:ind w:left="720"/>
        <w:rPr>
          <w:rFonts w:cs="Arial"/>
          <w:color w:val="auto"/>
        </w:rPr>
      </w:pPr>
    </w:p>
    <w:p w14:paraId="5D791F47" w14:textId="77777777" w:rsidR="00FC1D75" w:rsidRDefault="00D524B5" w:rsidP="000E7993">
      <w:pPr>
        <w:pStyle w:val="ListParagraph"/>
        <w:numPr>
          <w:ilvl w:val="0"/>
          <w:numId w:val="6"/>
        </w:numPr>
        <w:autoSpaceDE w:val="0"/>
        <w:autoSpaceDN w:val="0"/>
        <w:adjustRightInd w:val="0"/>
        <w:spacing w:after="0"/>
        <w:rPr>
          <w:rFonts w:cs="Arial"/>
          <w:color w:val="auto"/>
        </w:rPr>
      </w:pPr>
      <w:r w:rsidRPr="000E7993">
        <w:rPr>
          <w:rFonts w:cs="Arial"/>
          <w:color w:val="auto"/>
        </w:rPr>
        <w:t>Before preparing a scheme, the authority must (in the following order)—</w:t>
      </w:r>
    </w:p>
    <w:p w14:paraId="5F99BFA2" w14:textId="77777777" w:rsidR="00FC1D75" w:rsidRDefault="00FC1D75" w:rsidP="000E7993">
      <w:pPr>
        <w:pStyle w:val="ListParagraph"/>
        <w:numPr>
          <w:ilvl w:val="0"/>
          <w:numId w:val="0"/>
        </w:numPr>
        <w:autoSpaceDE w:val="0"/>
        <w:autoSpaceDN w:val="0"/>
        <w:adjustRightInd w:val="0"/>
        <w:spacing w:after="0"/>
        <w:ind w:left="720"/>
        <w:rPr>
          <w:rFonts w:cs="Arial"/>
          <w:color w:val="auto"/>
        </w:rPr>
      </w:pPr>
    </w:p>
    <w:p w14:paraId="0FCA8242" w14:textId="45203A4D" w:rsidR="00D524B5" w:rsidRPr="00FC1D75" w:rsidRDefault="00FC1D75" w:rsidP="000E7993">
      <w:pPr>
        <w:pStyle w:val="ListParagraph"/>
        <w:numPr>
          <w:ilvl w:val="0"/>
          <w:numId w:val="0"/>
        </w:numPr>
        <w:autoSpaceDE w:val="0"/>
        <w:autoSpaceDN w:val="0"/>
        <w:adjustRightInd w:val="0"/>
        <w:spacing w:after="0"/>
        <w:ind w:left="720"/>
        <w:rPr>
          <w:rFonts w:cs="Arial"/>
          <w:color w:val="auto"/>
        </w:rPr>
      </w:pPr>
      <w:r w:rsidRPr="00FC1D75">
        <w:rPr>
          <w:rFonts w:cs="Arial"/>
          <w:color w:val="auto"/>
        </w:rPr>
        <w:t>(</w:t>
      </w:r>
      <w:r w:rsidR="00D524B5" w:rsidRPr="00FC1D75">
        <w:rPr>
          <w:rFonts w:cs="Arial"/>
          <w:color w:val="auto"/>
        </w:rPr>
        <w:t>a) Consult any major precepting authority which has</w:t>
      </w:r>
      <w:r w:rsidR="00463DD7">
        <w:rPr>
          <w:rFonts w:cs="Arial"/>
          <w:color w:val="auto"/>
        </w:rPr>
        <w:t xml:space="preserve"> power to issue a precept to it;</w:t>
      </w:r>
    </w:p>
    <w:p w14:paraId="66F3E18F" w14:textId="3A36827A" w:rsidR="00D524B5" w:rsidRDefault="00D524B5" w:rsidP="000E7993">
      <w:pPr>
        <w:autoSpaceDE w:val="0"/>
        <w:autoSpaceDN w:val="0"/>
        <w:adjustRightInd w:val="0"/>
        <w:spacing w:after="0"/>
        <w:ind w:firstLine="720"/>
        <w:rPr>
          <w:rFonts w:cs="Arial"/>
          <w:color w:val="auto"/>
        </w:rPr>
      </w:pPr>
      <w:r>
        <w:rPr>
          <w:rFonts w:cs="Arial"/>
          <w:color w:val="auto"/>
        </w:rPr>
        <w:t xml:space="preserve">(b) Publish a draft scheme </w:t>
      </w:r>
      <w:r w:rsidR="00463DD7">
        <w:rPr>
          <w:rFonts w:cs="Arial"/>
          <w:color w:val="auto"/>
        </w:rPr>
        <w:t>in such manner as it thinks fit;</w:t>
      </w:r>
      <w:bookmarkStart w:id="0" w:name="_GoBack"/>
      <w:bookmarkEnd w:id="0"/>
      <w:r>
        <w:rPr>
          <w:rFonts w:cs="Arial"/>
          <w:color w:val="auto"/>
        </w:rPr>
        <w:t xml:space="preserve"> and</w:t>
      </w:r>
    </w:p>
    <w:p w14:paraId="73B231AD" w14:textId="063DA406" w:rsidR="00D524B5" w:rsidRPr="000E7993" w:rsidRDefault="00D524B5" w:rsidP="000E7993">
      <w:pPr>
        <w:autoSpaceDE w:val="0"/>
        <w:autoSpaceDN w:val="0"/>
        <w:adjustRightInd w:val="0"/>
        <w:spacing w:after="0"/>
        <w:ind w:firstLine="720"/>
        <w:rPr>
          <w:rFonts w:cs="Arial"/>
          <w:color w:val="auto"/>
        </w:rPr>
      </w:pPr>
      <w:r>
        <w:rPr>
          <w:rFonts w:cs="Arial"/>
          <w:color w:val="auto"/>
        </w:rPr>
        <w:t>(</w:t>
      </w:r>
      <w:proofErr w:type="gramStart"/>
      <w:r>
        <w:rPr>
          <w:rFonts w:cs="Arial"/>
          <w:color w:val="auto"/>
        </w:rPr>
        <w:t>c</w:t>
      </w:r>
      <w:proofErr w:type="gramEnd"/>
      <w:r>
        <w:rPr>
          <w:rFonts w:cs="Arial"/>
          <w:color w:val="auto"/>
        </w:rPr>
        <w:t>) consult such other persons as it considers are likely to have an interest in the</w:t>
      </w:r>
      <w:r w:rsidR="00FC1D75">
        <w:rPr>
          <w:rFonts w:cs="Arial"/>
          <w:color w:val="auto"/>
        </w:rPr>
        <w:tab/>
      </w:r>
      <w:r w:rsidRPr="000E7993">
        <w:rPr>
          <w:rFonts w:cs="Arial"/>
          <w:color w:val="auto"/>
        </w:rPr>
        <w:t>operation of the scheme.</w:t>
      </w:r>
    </w:p>
    <w:p w14:paraId="6921AACD" w14:textId="77777777" w:rsidR="00185FA5" w:rsidRPr="00FC1D75" w:rsidRDefault="00185FA5" w:rsidP="000E7993">
      <w:pPr>
        <w:pStyle w:val="ListParagraph"/>
        <w:numPr>
          <w:ilvl w:val="0"/>
          <w:numId w:val="6"/>
        </w:numPr>
        <w:spacing w:before="240"/>
        <w:outlineLvl w:val="0"/>
        <w:rPr>
          <w:rFonts w:cs="Arial"/>
        </w:rPr>
      </w:pPr>
      <w:r w:rsidRPr="00FC1D75">
        <w:rPr>
          <w:rFonts w:cs="Arial"/>
        </w:rPr>
        <w:t xml:space="preserve">In considering changes to the CTR </w:t>
      </w:r>
      <w:r w:rsidR="002C03CF" w:rsidRPr="00FC1D75">
        <w:rPr>
          <w:rFonts w:cs="Arial"/>
        </w:rPr>
        <w:t>S</w:t>
      </w:r>
      <w:r w:rsidRPr="00FC1D75">
        <w:rPr>
          <w:rFonts w:cs="Arial"/>
        </w:rPr>
        <w:t>cheme, the Council must take into account the provisions of The Council Tax Reduction Schemes (Prescribed Requirements) (England) 2012 and subsequent amendments.</w:t>
      </w:r>
    </w:p>
    <w:p w14:paraId="4BA2720F" w14:textId="77777777" w:rsidR="00DB12D4" w:rsidRPr="000E7993" w:rsidRDefault="00DB12D4" w:rsidP="000E7993">
      <w:pPr>
        <w:pStyle w:val="ListParagraph"/>
        <w:numPr>
          <w:ilvl w:val="0"/>
          <w:numId w:val="6"/>
        </w:numPr>
        <w:spacing w:before="240"/>
        <w:outlineLvl w:val="0"/>
        <w:rPr>
          <w:rFonts w:cs="Arial"/>
        </w:rPr>
      </w:pPr>
      <w:r w:rsidRPr="00FC1D75">
        <w:rPr>
          <w:rFonts w:cs="Arial"/>
        </w:rPr>
        <w:t xml:space="preserve">Since the introduction of CTR </w:t>
      </w:r>
      <w:r w:rsidR="002C03CF" w:rsidRPr="00FC1D75">
        <w:rPr>
          <w:rFonts w:cs="Arial"/>
        </w:rPr>
        <w:t>S</w:t>
      </w:r>
      <w:r w:rsidRPr="00FC1D75">
        <w:rPr>
          <w:rFonts w:cs="Arial"/>
        </w:rPr>
        <w:t>chemes, there have been a number of legal challenges against oth</w:t>
      </w:r>
      <w:r w:rsidRPr="00232DA4">
        <w:rPr>
          <w:rFonts w:cs="Arial"/>
        </w:rPr>
        <w:t>er local schemes. Most of these challenges have been in relation to the consultation undertaken and have questioned whether due regard was given to any equality impact assessment when changes were made to schemes. A Supreme Court ruling in 2014 ( R (Moseley) v London Borough of Haringey) has determined that consultation on changes to council tax reduction schemes must also include an option for any current scheme to be retained on the same level of funding with a consequent reduction in fun</w:t>
      </w:r>
      <w:r w:rsidR="00296BD9" w:rsidRPr="00232DA4">
        <w:rPr>
          <w:rFonts w:cs="Arial"/>
        </w:rPr>
        <w:t>ding for other services. There we</w:t>
      </w:r>
      <w:r w:rsidRPr="00232DA4">
        <w:rPr>
          <w:rFonts w:cs="Arial"/>
        </w:rPr>
        <w:t>re questions in the consultation paper on these options</w:t>
      </w:r>
      <w:r w:rsidR="006961CF" w:rsidRPr="00232DA4">
        <w:rPr>
          <w:rFonts w:cs="Arial"/>
        </w:rPr>
        <w:t>.</w:t>
      </w:r>
    </w:p>
    <w:p w14:paraId="31FE7F65" w14:textId="77777777" w:rsidR="006B3C9A" w:rsidRPr="00B358B2" w:rsidRDefault="006B3C9A" w:rsidP="000E7993">
      <w:pPr>
        <w:pStyle w:val="ListParagraph"/>
        <w:numPr>
          <w:ilvl w:val="0"/>
          <w:numId w:val="6"/>
        </w:numPr>
        <w:spacing w:before="240"/>
        <w:outlineLvl w:val="0"/>
        <w:rPr>
          <w:rFonts w:cs="Arial"/>
        </w:rPr>
      </w:pPr>
      <w:r w:rsidRPr="00B358B2">
        <w:rPr>
          <w:rFonts w:cs="Arial"/>
        </w:rPr>
        <w:t xml:space="preserve">The CTR </w:t>
      </w:r>
      <w:r w:rsidR="002C03CF" w:rsidRPr="00B358B2">
        <w:rPr>
          <w:rFonts w:cs="Arial"/>
        </w:rPr>
        <w:t>S</w:t>
      </w:r>
      <w:r w:rsidRPr="00B358B2">
        <w:rPr>
          <w:rFonts w:cs="Arial"/>
        </w:rPr>
        <w:t xml:space="preserve">cheme itself must be adopted by Council, and the approval of the scheme cannot be delegated to an officer or committee. </w:t>
      </w:r>
    </w:p>
    <w:p w14:paraId="0B6A0648" w14:textId="77777777" w:rsidR="00185FA5" w:rsidRPr="00B358B2" w:rsidRDefault="00185FA5" w:rsidP="002200E7">
      <w:pPr>
        <w:spacing w:before="240"/>
        <w:ind w:left="720"/>
        <w:outlineLvl w:val="0"/>
        <w:rPr>
          <w:rFonts w:cs="Arial"/>
          <w:b/>
        </w:rPr>
      </w:pPr>
      <w:r w:rsidRPr="00B358B2">
        <w:rPr>
          <w:rFonts w:cs="Arial"/>
          <w:b/>
        </w:rPr>
        <w:t>Level of risk</w:t>
      </w:r>
    </w:p>
    <w:p w14:paraId="7D7FC1A8" w14:textId="43E61356" w:rsidR="00315617" w:rsidRPr="000E7993" w:rsidRDefault="00185FA5" w:rsidP="000E7993">
      <w:pPr>
        <w:pStyle w:val="ListParagraph"/>
        <w:numPr>
          <w:ilvl w:val="0"/>
          <w:numId w:val="6"/>
        </w:numPr>
        <w:rPr>
          <w:rFonts w:cs="Arial"/>
        </w:rPr>
      </w:pPr>
      <w:r w:rsidRPr="000E7993">
        <w:rPr>
          <w:rFonts w:cs="Arial"/>
        </w:rPr>
        <w:t>A risk regist</w:t>
      </w:r>
      <w:r w:rsidR="00622CDC" w:rsidRPr="000E7993">
        <w:rPr>
          <w:rFonts w:cs="Arial"/>
        </w:rPr>
        <w:t>er is attached at Appendix 2</w:t>
      </w:r>
      <w:r w:rsidRPr="000E7993">
        <w:rPr>
          <w:rFonts w:cs="Arial"/>
        </w:rPr>
        <w:t xml:space="preserve">. </w:t>
      </w:r>
    </w:p>
    <w:p w14:paraId="29355181" w14:textId="77777777" w:rsidR="00185FA5" w:rsidRPr="00B358B2" w:rsidRDefault="00185FA5" w:rsidP="002200E7">
      <w:pPr>
        <w:spacing w:before="240"/>
        <w:ind w:left="720"/>
        <w:outlineLvl w:val="0"/>
        <w:rPr>
          <w:rFonts w:cs="Arial"/>
          <w:b/>
        </w:rPr>
      </w:pPr>
      <w:r w:rsidRPr="00B358B2">
        <w:rPr>
          <w:rFonts w:cs="Arial"/>
          <w:b/>
        </w:rPr>
        <w:t xml:space="preserve">Equalities impact </w:t>
      </w:r>
    </w:p>
    <w:p w14:paraId="7D8484EC" w14:textId="77777777" w:rsidR="00185FA5" w:rsidRPr="00B358B2" w:rsidRDefault="007B615F" w:rsidP="000E7993">
      <w:pPr>
        <w:pStyle w:val="ListParagraph"/>
        <w:numPr>
          <w:ilvl w:val="0"/>
          <w:numId w:val="6"/>
        </w:numPr>
        <w:rPr>
          <w:rFonts w:cs="Arial"/>
        </w:rPr>
      </w:pPr>
      <w:r w:rsidRPr="00B358B2">
        <w:rPr>
          <w:rFonts w:cs="Arial"/>
        </w:rPr>
        <w:t xml:space="preserve">The changes proposed in this report do not have any new </w:t>
      </w:r>
      <w:r w:rsidR="00E75ACC" w:rsidRPr="00B358B2">
        <w:rPr>
          <w:rFonts w:cs="Arial"/>
        </w:rPr>
        <w:t>equality impacts</w:t>
      </w:r>
      <w:r w:rsidRPr="00B358B2">
        <w:rPr>
          <w:rFonts w:cs="Arial"/>
        </w:rPr>
        <w:t xml:space="preserve"> attached to them. The equality impact of the income band scheme was considered in a report to </w:t>
      </w:r>
      <w:r w:rsidR="009E5BC2" w:rsidRPr="00B358B2">
        <w:rPr>
          <w:rFonts w:cs="Arial"/>
        </w:rPr>
        <w:t>Cabinet</w:t>
      </w:r>
      <w:r w:rsidRPr="00B358B2">
        <w:rPr>
          <w:rFonts w:cs="Arial"/>
        </w:rPr>
        <w:t xml:space="preserve"> dated 19 December 2017.</w:t>
      </w:r>
      <w:r w:rsidR="00622CDC" w:rsidRPr="00B358B2">
        <w:rPr>
          <w:rFonts w:cs="Arial"/>
        </w:rPr>
        <w:t xml:space="preserve"> An Equalities Impact Assessment is attached at Appendix 3</w:t>
      </w:r>
      <w:r w:rsidR="00A03F7B" w:rsidRPr="00B358B2">
        <w:rPr>
          <w:rFonts w:cs="Arial"/>
        </w:rPr>
        <w:t>.</w:t>
      </w:r>
    </w:p>
    <w:p w14:paraId="5FEC4160" w14:textId="77777777" w:rsidR="00A05F90" w:rsidRPr="00B358B2" w:rsidRDefault="00A05F90" w:rsidP="000E7993">
      <w:pPr>
        <w:pStyle w:val="ListParagraph"/>
        <w:numPr>
          <w:ilvl w:val="0"/>
          <w:numId w:val="6"/>
        </w:numPr>
        <w:rPr>
          <w:rFonts w:cs="Arial"/>
        </w:rPr>
      </w:pPr>
      <w:r w:rsidRPr="00B358B2">
        <w:rPr>
          <w:rFonts w:cs="Arial"/>
        </w:rPr>
        <w:t>When the scheme is published on the Council website we will ensure customers are aware of our translating and interpreting services available.</w:t>
      </w:r>
    </w:p>
    <w:p w14:paraId="0594F298" w14:textId="4569045A" w:rsidR="009B677A" w:rsidRDefault="009B677A">
      <w:pPr>
        <w:rPr>
          <w:rFonts w:cs="Arial"/>
          <w:highlight w:val="yellow"/>
        </w:rPr>
      </w:pPr>
      <w:r>
        <w:rPr>
          <w:rFonts w:cs="Arial"/>
          <w:highlight w:val="yellow"/>
        </w:rPr>
        <w:br w:type="page"/>
      </w:r>
    </w:p>
    <w:p w14:paraId="68D8D326" w14:textId="77777777" w:rsidR="008A506E" w:rsidRPr="00B358B2" w:rsidRDefault="008A506E" w:rsidP="004A6D2F">
      <w:pPr>
        <w:rPr>
          <w:rFonts w:cs="Arial"/>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8171A" w14:paraId="08F9777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E2B6837" w14:textId="77777777" w:rsidR="00E87F7A" w:rsidRPr="00C27815" w:rsidRDefault="00E87F7A" w:rsidP="00A46E98">
            <w:pPr>
              <w:rPr>
                <w:b/>
              </w:rPr>
            </w:pPr>
            <w:r w:rsidRPr="00C27815">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249EC42" w14:textId="77777777" w:rsidR="00E87F7A" w:rsidRPr="00C27815" w:rsidRDefault="009E5BC2" w:rsidP="00A46E98">
            <w:r w:rsidRPr="00C27815">
              <w:t>Tanya Bandekar</w:t>
            </w:r>
          </w:p>
        </w:tc>
      </w:tr>
      <w:tr w:rsidR="00DF093E" w:rsidRPr="00E8171A" w14:paraId="373D2E6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569FC9B" w14:textId="77777777" w:rsidR="00E87F7A" w:rsidRPr="00C27815" w:rsidRDefault="00E87F7A" w:rsidP="00A46E98">
            <w:r w:rsidRPr="00C27815">
              <w:t>Job title</w:t>
            </w:r>
          </w:p>
        </w:tc>
        <w:tc>
          <w:tcPr>
            <w:tcW w:w="4962" w:type="dxa"/>
            <w:tcBorders>
              <w:top w:val="single" w:sz="8" w:space="0" w:color="000000"/>
              <w:left w:val="nil"/>
              <w:bottom w:val="nil"/>
              <w:right w:val="single" w:sz="8" w:space="0" w:color="000000"/>
            </w:tcBorders>
            <w:shd w:val="clear" w:color="auto" w:fill="auto"/>
          </w:tcPr>
          <w:p w14:paraId="2E0CAC5D" w14:textId="77777777" w:rsidR="00E87F7A" w:rsidRPr="00C27815" w:rsidRDefault="009E5BC2" w:rsidP="002200E7">
            <w:r w:rsidRPr="00C27815">
              <w:t xml:space="preserve">Revenues &amp; Benefits Service </w:t>
            </w:r>
            <w:r w:rsidR="002200E7" w:rsidRPr="00C27815">
              <w:t>Manager</w:t>
            </w:r>
          </w:p>
        </w:tc>
      </w:tr>
      <w:tr w:rsidR="00DF093E" w:rsidRPr="00E8171A" w14:paraId="2D3B78DE" w14:textId="77777777" w:rsidTr="00A46E98">
        <w:trPr>
          <w:cantSplit/>
          <w:trHeight w:val="396"/>
        </w:trPr>
        <w:tc>
          <w:tcPr>
            <w:tcW w:w="3969" w:type="dxa"/>
            <w:tcBorders>
              <w:top w:val="nil"/>
              <w:left w:val="single" w:sz="8" w:space="0" w:color="000000"/>
              <w:bottom w:val="nil"/>
              <w:right w:val="nil"/>
            </w:tcBorders>
            <w:shd w:val="clear" w:color="auto" w:fill="auto"/>
          </w:tcPr>
          <w:p w14:paraId="4129C4E3" w14:textId="77777777" w:rsidR="00E87F7A" w:rsidRPr="00C27815" w:rsidRDefault="00E87F7A" w:rsidP="00A46E98">
            <w:r w:rsidRPr="00C27815">
              <w:t>Service area or department</w:t>
            </w:r>
          </w:p>
        </w:tc>
        <w:tc>
          <w:tcPr>
            <w:tcW w:w="4962" w:type="dxa"/>
            <w:tcBorders>
              <w:top w:val="nil"/>
              <w:left w:val="nil"/>
              <w:bottom w:val="nil"/>
              <w:right w:val="single" w:sz="8" w:space="0" w:color="000000"/>
            </w:tcBorders>
            <w:shd w:val="clear" w:color="auto" w:fill="auto"/>
          </w:tcPr>
          <w:p w14:paraId="7A731D64" w14:textId="77777777" w:rsidR="00E87F7A" w:rsidRPr="00C27815" w:rsidRDefault="009E5BC2" w:rsidP="00A46E98">
            <w:r w:rsidRPr="00C27815">
              <w:t>Financial Services</w:t>
            </w:r>
          </w:p>
        </w:tc>
      </w:tr>
      <w:tr w:rsidR="00DF093E" w:rsidRPr="00E8171A" w14:paraId="56ECF8C5" w14:textId="77777777" w:rsidTr="00A46E98">
        <w:trPr>
          <w:cantSplit/>
          <w:trHeight w:val="396"/>
        </w:trPr>
        <w:tc>
          <w:tcPr>
            <w:tcW w:w="3969" w:type="dxa"/>
            <w:tcBorders>
              <w:top w:val="nil"/>
              <w:left w:val="single" w:sz="8" w:space="0" w:color="000000"/>
              <w:bottom w:val="nil"/>
              <w:right w:val="nil"/>
            </w:tcBorders>
            <w:shd w:val="clear" w:color="auto" w:fill="auto"/>
          </w:tcPr>
          <w:p w14:paraId="5D98BA15" w14:textId="77777777" w:rsidR="00E87F7A" w:rsidRPr="00C27815" w:rsidRDefault="00E87F7A" w:rsidP="00A46E98">
            <w:r w:rsidRPr="00C27815">
              <w:t xml:space="preserve">Telephone </w:t>
            </w:r>
          </w:p>
        </w:tc>
        <w:tc>
          <w:tcPr>
            <w:tcW w:w="4962" w:type="dxa"/>
            <w:tcBorders>
              <w:top w:val="nil"/>
              <w:left w:val="nil"/>
              <w:bottom w:val="nil"/>
              <w:right w:val="single" w:sz="8" w:space="0" w:color="000000"/>
            </w:tcBorders>
            <w:shd w:val="clear" w:color="auto" w:fill="auto"/>
          </w:tcPr>
          <w:p w14:paraId="4727A4E0" w14:textId="77777777" w:rsidR="00E87F7A" w:rsidRPr="00C27815" w:rsidRDefault="00A77DBF" w:rsidP="00A46E98">
            <w:r w:rsidRPr="00C27815">
              <w:t>07483 01</w:t>
            </w:r>
            <w:r w:rsidR="009E5BC2" w:rsidRPr="00C27815">
              <w:t>1298</w:t>
            </w:r>
          </w:p>
        </w:tc>
      </w:tr>
      <w:tr w:rsidR="005570B5" w:rsidRPr="00E8171A" w14:paraId="02E33E3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C107DC6" w14:textId="77777777" w:rsidR="00E87F7A" w:rsidRPr="00C27815" w:rsidRDefault="00E87F7A" w:rsidP="00A46E98">
            <w:r w:rsidRPr="00C27815">
              <w:t xml:space="preserve">e-mail </w:t>
            </w:r>
          </w:p>
        </w:tc>
        <w:tc>
          <w:tcPr>
            <w:tcW w:w="4962" w:type="dxa"/>
            <w:tcBorders>
              <w:top w:val="nil"/>
              <w:left w:val="nil"/>
              <w:bottom w:val="single" w:sz="8" w:space="0" w:color="000000"/>
              <w:right w:val="single" w:sz="8" w:space="0" w:color="000000"/>
            </w:tcBorders>
            <w:shd w:val="clear" w:color="auto" w:fill="auto"/>
          </w:tcPr>
          <w:p w14:paraId="7FB5F775" w14:textId="77777777" w:rsidR="00E87F7A" w:rsidRPr="00C27815" w:rsidRDefault="00463DD7" w:rsidP="00A46E98">
            <w:pPr>
              <w:rPr>
                <w:rStyle w:val="Hyperlink"/>
                <w:color w:val="000000"/>
              </w:rPr>
            </w:pPr>
            <w:hyperlink r:id="rId8" w:history="1">
              <w:r w:rsidR="00CB56A0" w:rsidRPr="00C27815">
                <w:rPr>
                  <w:rStyle w:val="Hyperlink"/>
                </w:rPr>
                <w:t>tbandekar@oxford.gov.uk</w:t>
              </w:r>
            </w:hyperlink>
          </w:p>
        </w:tc>
      </w:tr>
    </w:tbl>
    <w:p w14:paraId="62D77204" w14:textId="77777777" w:rsidR="00433B96" w:rsidRPr="00E8171A" w:rsidRDefault="00433B96" w:rsidP="004A6D2F">
      <w:pPr>
        <w:rPr>
          <w:highlight w:val="yellow"/>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8171A" w14:paraId="277C021F" w14:textId="77777777" w:rsidTr="009B677A">
        <w:tc>
          <w:tcPr>
            <w:tcW w:w="8931" w:type="dxa"/>
            <w:tcBorders>
              <w:top w:val="single" w:sz="4" w:space="0" w:color="auto"/>
              <w:left w:val="single" w:sz="4" w:space="0" w:color="auto"/>
              <w:bottom w:val="single" w:sz="8" w:space="0" w:color="000000"/>
              <w:right w:val="single" w:sz="4" w:space="0" w:color="auto"/>
            </w:tcBorders>
            <w:shd w:val="clear" w:color="auto" w:fill="auto"/>
          </w:tcPr>
          <w:p w14:paraId="7E3DE4B5" w14:textId="77777777" w:rsidR="0093067A" w:rsidRPr="00E8171A" w:rsidRDefault="00182B81" w:rsidP="00F41AC1">
            <w:pPr>
              <w:rPr>
                <w:highlight w:val="yellow"/>
              </w:rPr>
            </w:pPr>
            <w:r w:rsidRPr="00C27815">
              <w:rPr>
                <w:rStyle w:val="Firstpagetablebold"/>
              </w:rPr>
              <w:t xml:space="preserve">Background Papers: </w:t>
            </w:r>
            <w:r w:rsidRPr="00C27815">
              <w:rPr>
                <w:rStyle w:val="Firstpagetablebold"/>
                <w:b w:val="0"/>
              </w:rPr>
              <w:t>None</w:t>
            </w:r>
          </w:p>
        </w:tc>
      </w:tr>
    </w:tbl>
    <w:p w14:paraId="07EE1640" w14:textId="77777777" w:rsidR="00A05F90" w:rsidRPr="00E8171A" w:rsidRDefault="00A05F90" w:rsidP="00C85B4E">
      <w:pPr>
        <w:rPr>
          <w:b/>
          <w:highlight w:val="yellow"/>
        </w:rPr>
      </w:pPr>
    </w:p>
    <w:p w14:paraId="2C1A315B" w14:textId="77777777" w:rsidR="0054712D" w:rsidRPr="00E8171A" w:rsidRDefault="0054712D" w:rsidP="0093067A">
      <w:pPr>
        <w:rPr>
          <w:highlight w:val="yellow"/>
        </w:rPr>
      </w:pPr>
    </w:p>
    <w:p w14:paraId="49757F10" w14:textId="77777777" w:rsidR="00622CDC" w:rsidRPr="00E8171A" w:rsidRDefault="00622CDC" w:rsidP="00882271">
      <w:pPr>
        <w:ind w:left="7200"/>
        <w:rPr>
          <w:b/>
          <w:sz w:val="28"/>
          <w:szCs w:val="28"/>
          <w:highlight w:val="yellow"/>
        </w:rPr>
      </w:pPr>
    </w:p>
    <w:p w14:paraId="3B9855FD" w14:textId="77777777" w:rsidR="00622CDC" w:rsidRPr="00E8171A" w:rsidRDefault="00622CDC">
      <w:pPr>
        <w:rPr>
          <w:b/>
          <w:sz w:val="28"/>
          <w:szCs w:val="28"/>
          <w:highlight w:val="yellow"/>
        </w:rPr>
      </w:pPr>
      <w:r w:rsidRPr="00E8171A">
        <w:rPr>
          <w:b/>
          <w:sz w:val="28"/>
          <w:szCs w:val="28"/>
          <w:highlight w:val="yellow"/>
        </w:rPr>
        <w:br w:type="page"/>
      </w:r>
    </w:p>
    <w:p w14:paraId="5E27A832" w14:textId="77777777" w:rsidR="00622CDC" w:rsidRPr="00E8171A" w:rsidRDefault="00622CDC" w:rsidP="00882271">
      <w:pPr>
        <w:ind w:left="7200"/>
        <w:rPr>
          <w:b/>
          <w:sz w:val="28"/>
          <w:szCs w:val="28"/>
          <w:highlight w:val="yellow"/>
        </w:rPr>
      </w:pPr>
    </w:p>
    <w:p w14:paraId="326C6579" w14:textId="77777777" w:rsidR="00D56DCB" w:rsidRPr="00127526" w:rsidRDefault="00D56DCB" w:rsidP="00882271">
      <w:pPr>
        <w:ind w:left="7200"/>
        <w:rPr>
          <w:b/>
          <w:sz w:val="28"/>
          <w:szCs w:val="28"/>
        </w:rPr>
      </w:pPr>
      <w:r w:rsidRPr="00127526">
        <w:rPr>
          <w:b/>
          <w:sz w:val="28"/>
          <w:szCs w:val="28"/>
        </w:rPr>
        <w:t>Appendix 1</w:t>
      </w:r>
    </w:p>
    <w:p w14:paraId="037DAE99" w14:textId="77777777" w:rsidR="00D56DCB" w:rsidRPr="00E8171A" w:rsidRDefault="00D56DCB" w:rsidP="00D56DCB">
      <w:pPr>
        <w:rPr>
          <w:highlight w:val="yellow"/>
        </w:rPr>
      </w:pPr>
    </w:p>
    <w:p w14:paraId="079FDCAE" w14:textId="77777777" w:rsidR="00127526" w:rsidRDefault="00127526" w:rsidP="00127526">
      <w:pPr>
        <w:pStyle w:val="Heading1"/>
      </w:pPr>
      <w:r>
        <w:t xml:space="preserve">Council Tax Reduction Scheme 2022/23 Consultation </w:t>
      </w:r>
    </w:p>
    <w:p w14:paraId="1AE1C26D" w14:textId="77777777" w:rsidR="00127526" w:rsidRDefault="00127526" w:rsidP="00127526">
      <w:r>
        <w:br/>
        <w:t>This report was created on Thursday 25 November 2021 at 10:42</w:t>
      </w:r>
    </w:p>
    <w:p w14:paraId="61EC8073" w14:textId="77777777" w:rsidR="00127526" w:rsidRDefault="00127526" w:rsidP="00127526">
      <w:r>
        <w:t>The activity ran from 22/09/2021 to 17/11/2021</w:t>
      </w:r>
    </w:p>
    <w:p w14:paraId="4908A61A" w14:textId="77777777" w:rsidR="00127526" w:rsidRDefault="00127526" w:rsidP="00127526">
      <w:r>
        <w:t xml:space="preserve">Responses to this survey: </w:t>
      </w:r>
      <w:r>
        <w:rPr>
          <w:b/>
        </w:rPr>
        <w:t>294</w:t>
      </w:r>
    </w:p>
    <w:p w14:paraId="6BD9039E" w14:textId="77777777" w:rsidR="00127526" w:rsidRDefault="00127526" w:rsidP="00127526"/>
    <w:p w14:paraId="7F6CABDF" w14:textId="77777777" w:rsidR="00127526" w:rsidRDefault="00127526" w:rsidP="00127526">
      <w:pPr>
        <w:pStyle w:val="Heading2"/>
      </w:pPr>
      <w:r>
        <w:t xml:space="preserve">1: Are you responding on behalf of an organisation? </w:t>
      </w:r>
    </w:p>
    <w:p w14:paraId="070A8460" w14:textId="77777777" w:rsidR="00127526" w:rsidRDefault="00127526" w:rsidP="00127526">
      <w:r>
        <w:rPr>
          <w:b/>
        </w:rPr>
        <w:t>Reply for an organisation</w:t>
      </w:r>
    </w:p>
    <w:p w14:paraId="3984FBD1" w14:textId="77777777" w:rsidR="00127526" w:rsidRDefault="00127526" w:rsidP="00127526">
      <w:r>
        <w:t>There were 294 responses to this part of the question.</w:t>
      </w:r>
    </w:p>
    <w:p w14:paraId="3DBD4975" w14:textId="77777777" w:rsidR="00127526" w:rsidRDefault="00127526" w:rsidP="00127526">
      <w:r>
        <w:rPr>
          <w:noProof/>
        </w:rPr>
        <w:drawing>
          <wp:inline distT="0" distB="0" distL="0" distR="0" wp14:anchorId="02935CBC" wp14:editId="6A593A2A">
            <wp:extent cx="5400000" cy="144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56CDEE79"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B7E0C0" w14:textId="77777777" w:rsidR="00127526" w:rsidRDefault="00127526" w:rsidP="00127526">
            <w:r>
              <w:t>Option</w:t>
            </w:r>
          </w:p>
        </w:tc>
        <w:tc>
          <w:tcPr>
            <w:tcW w:w="1134" w:type="dxa"/>
          </w:tcPr>
          <w:p w14:paraId="2635F806"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F78C296"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5506DE64"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428D12" w14:textId="77777777" w:rsidR="00127526" w:rsidRDefault="00127526" w:rsidP="00127526">
            <w:r>
              <w:t>Yes</w:t>
            </w:r>
          </w:p>
        </w:tc>
        <w:tc>
          <w:tcPr>
            <w:tcW w:w="1134" w:type="dxa"/>
          </w:tcPr>
          <w:p w14:paraId="552AC1B5"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7</w:t>
            </w:r>
          </w:p>
        </w:tc>
        <w:tc>
          <w:tcPr>
            <w:tcW w:w="1134" w:type="dxa"/>
          </w:tcPr>
          <w:p w14:paraId="6456123F"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2.38%</w:t>
            </w:r>
          </w:p>
        </w:tc>
      </w:tr>
      <w:tr w:rsidR="00127526" w14:paraId="05CB5727"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8E8490" w14:textId="77777777" w:rsidR="00127526" w:rsidRDefault="00127526" w:rsidP="00127526">
            <w:r>
              <w:t>No</w:t>
            </w:r>
          </w:p>
        </w:tc>
        <w:tc>
          <w:tcPr>
            <w:tcW w:w="1134" w:type="dxa"/>
          </w:tcPr>
          <w:p w14:paraId="0D8040D0"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287</w:t>
            </w:r>
          </w:p>
        </w:tc>
        <w:tc>
          <w:tcPr>
            <w:tcW w:w="1134" w:type="dxa"/>
          </w:tcPr>
          <w:p w14:paraId="0C431D65"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97.62%</w:t>
            </w:r>
          </w:p>
        </w:tc>
      </w:tr>
      <w:tr w:rsidR="00127526" w14:paraId="6C4D4952"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4DB3421" w14:textId="77777777" w:rsidR="00127526" w:rsidRDefault="00127526" w:rsidP="00127526">
            <w:r>
              <w:t>Not Answered</w:t>
            </w:r>
          </w:p>
        </w:tc>
        <w:tc>
          <w:tcPr>
            <w:tcW w:w="1134" w:type="dxa"/>
          </w:tcPr>
          <w:p w14:paraId="486BC256"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690B29BE"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0.00%</w:t>
            </w:r>
          </w:p>
        </w:tc>
      </w:tr>
    </w:tbl>
    <w:p w14:paraId="6C02ACD2" w14:textId="77777777" w:rsidR="00127526" w:rsidRDefault="00127526" w:rsidP="00127526">
      <w:r>
        <w:br/>
      </w:r>
    </w:p>
    <w:p w14:paraId="3DACF2FE" w14:textId="77777777" w:rsidR="00127526" w:rsidRDefault="00127526" w:rsidP="00127526"/>
    <w:p w14:paraId="2EF2DA1C" w14:textId="77777777" w:rsidR="00127526" w:rsidRDefault="00127526" w:rsidP="00127526">
      <w:pPr>
        <w:pStyle w:val="Heading2"/>
      </w:pPr>
      <w:r>
        <w:t>2: If you are responding on behalf of an organisation, please state which one?</w:t>
      </w:r>
    </w:p>
    <w:p w14:paraId="35A623DD" w14:textId="77777777" w:rsidR="00127526" w:rsidRDefault="00127526" w:rsidP="00127526">
      <w:r>
        <w:br/>
      </w:r>
      <w:r>
        <w:rPr>
          <w:b/>
        </w:rPr>
        <w:t>Comments</w:t>
      </w:r>
    </w:p>
    <w:p w14:paraId="41BA97E6" w14:textId="77777777" w:rsidR="00127526" w:rsidRDefault="00127526" w:rsidP="00127526">
      <w:r>
        <w:t>There were 8 responses to this part of the question.</w:t>
      </w:r>
    </w:p>
    <w:p w14:paraId="2E621864" w14:textId="77777777" w:rsidR="00127526" w:rsidRDefault="00127526" w:rsidP="00127526"/>
    <w:p w14:paraId="044E72E6" w14:textId="77777777" w:rsidR="00127526" w:rsidRDefault="00127526" w:rsidP="00127526">
      <w:pPr>
        <w:pStyle w:val="Heading2"/>
      </w:pPr>
      <w:r>
        <w:t>3: Do you agree or disagree with the proposal for uprating the income bands from 2021/2022?</w:t>
      </w:r>
    </w:p>
    <w:p w14:paraId="509A885E" w14:textId="77777777" w:rsidR="00127526" w:rsidRDefault="00127526" w:rsidP="00127526">
      <w:r>
        <w:rPr>
          <w:b/>
        </w:rPr>
        <w:t>Uprating income bands</w:t>
      </w:r>
    </w:p>
    <w:p w14:paraId="536E5B6F" w14:textId="77777777" w:rsidR="00127526" w:rsidRDefault="00127526" w:rsidP="00127526">
      <w:r>
        <w:t>There were 292 responses to this part of the question.</w:t>
      </w:r>
    </w:p>
    <w:p w14:paraId="4BB690A2" w14:textId="77777777" w:rsidR="00127526" w:rsidRDefault="00127526" w:rsidP="00127526">
      <w:r>
        <w:rPr>
          <w:noProof/>
        </w:rPr>
        <w:lastRenderedPageBreak/>
        <w:drawing>
          <wp:inline distT="0" distB="0" distL="0" distR="0" wp14:anchorId="7C193AFE" wp14:editId="6EF91C08">
            <wp:extent cx="5400000" cy="2448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30773BED"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D7727D" w14:textId="77777777" w:rsidR="00127526" w:rsidRDefault="00127526" w:rsidP="00127526">
            <w:r>
              <w:t>Option</w:t>
            </w:r>
          </w:p>
        </w:tc>
        <w:tc>
          <w:tcPr>
            <w:tcW w:w="1134" w:type="dxa"/>
          </w:tcPr>
          <w:p w14:paraId="255004DF"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9D7A23A"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7B5B4114"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942B70E" w14:textId="77777777" w:rsidR="00127526" w:rsidRDefault="00127526" w:rsidP="00127526">
            <w:r>
              <w:t>Agree</w:t>
            </w:r>
          </w:p>
        </w:tc>
        <w:tc>
          <w:tcPr>
            <w:tcW w:w="1134" w:type="dxa"/>
          </w:tcPr>
          <w:p w14:paraId="3F758A9F"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134</w:t>
            </w:r>
          </w:p>
        </w:tc>
        <w:tc>
          <w:tcPr>
            <w:tcW w:w="1134" w:type="dxa"/>
          </w:tcPr>
          <w:p w14:paraId="1B53DD3E"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45.58%</w:t>
            </w:r>
          </w:p>
        </w:tc>
      </w:tr>
      <w:tr w:rsidR="00127526" w14:paraId="5211194F"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DC86E3" w14:textId="77777777" w:rsidR="00127526" w:rsidRDefault="00127526" w:rsidP="00127526">
            <w:r>
              <w:t>Disagree</w:t>
            </w:r>
          </w:p>
        </w:tc>
        <w:tc>
          <w:tcPr>
            <w:tcW w:w="1134" w:type="dxa"/>
          </w:tcPr>
          <w:p w14:paraId="052F9E97"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94</w:t>
            </w:r>
          </w:p>
        </w:tc>
        <w:tc>
          <w:tcPr>
            <w:tcW w:w="1134" w:type="dxa"/>
          </w:tcPr>
          <w:p w14:paraId="0EE3BE88"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31.97%</w:t>
            </w:r>
          </w:p>
        </w:tc>
      </w:tr>
      <w:tr w:rsidR="00127526" w14:paraId="742A8474"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04C47D" w14:textId="77777777" w:rsidR="00127526" w:rsidRDefault="00127526" w:rsidP="00127526">
            <w:r>
              <w:t>Do not know</w:t>
            </w:r>
          </w:p>
        </w:tc>
        <w:tc>
          <w:tcPr>
            <w:tcW w:w="1134" w:type="dxa"/>
          </w:tcPr>
          <w:p w14:paraId="52F2D29D"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64</w:t>
            </w:r>
          </w:p>
        </w:tc>
        <w:tc>
          <w:tcPr>
            <w:tcW w:w="1134" w:type="dxa"/>
          </w:tcPr>
          <w:p w14:paraId="4886BDC2"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21.77%</w:t>
            </w:r>
          </w:p>
        </w:tc>
      </w:tr>
      <w:tr w:rsidR="00127526" w14:paraId="1EB4ECB2"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285333" w14:textId="77777777" w:rsidR="00127526" w:rsidRDefault="00127526" w:rsidP="00127526">
            <w:r>
              <w:t>Not Answered</w:t>
            </w:r>
          </w:p>
        </w:tc>
        <w:tc>
          <w:tcPr>
            <w:tcW w:w="1134" w:type="dxa"/>
          </w:tcPr>
          <w:p w14:paraId="0C0C8527"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w:t>
            </w:r>
          </w:p>
        </w:tc>
        <w:tc>
          <w:tcPr>
            <w:tcW w:w="1134" w:type="dxa"/>
          </w:tcPr>
          <w:p w14:paraId="575CD06E"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0.68%</w:t>
            </w:r>
          </w:p>
        </w:tc>
      </w:tr>
    </w:tbl>
    <w:p w14:paraId="1DE92F40" w14:textId="77777777" w:rsidR="00127526" w:rsidRDefault="00127526" w:rsidP="00127526">
      <w:r>
        <w:br/>
      </w:r>
    </w:p>
    <w:p w14:paraId="15C661C6" w14:textId="77777777" w:rsidR="00127526" w:rsidRDefault="00127526" w:rsidP="00127526"/>
    <w:p w14:paraId="76A1B341" w14:textId="77777777" w:rsidR="00127526" w:rsidRDefault="00127526" w:rsidP="00127526">
      <w:pPr>
        <w:pStyle w:val="Heading2"/>
      </w:pPr>
      <w:r>
        <w:t>4: Please provide any comments you have on the income band scheme, and this proposal.</w:t>
      </w:r>
    </w:p>
    <w:p w14:paraId="3466CC02" w14:textId="77777777" w:rsidR="00127526" w:rsidRDefault="00127526" w:rsidP="00127526">
      <w:r>
        <w:br/>
      </w:r>
      <w:r>
        <w:rPr>
          <w:b/>
        </w:rPr>
        <w:t>Comments</w:t>
      </w:r>
    </w:p>
    <w:p w14:paraId="66AD4B41" w14:textId="77777777" w:rsidR="00127526" w:rsidRDefault="00127526" w:rsidP="00127526">
      <w:r>
        <w:t>There were 83 responses to this part of the question.</w:t>
      </w:r>
    </w:p>
    <w:p w14:paraId="212CF759" w14:textId="77777777" w:rsidR="00127526" w:rsidRDefault="00127526" w:rsidP="00127526"/>
    <w:p w14:paraId="5519D90A" w14:textId="77777777" w:rsidR="00127526" w:rsidRDefault="00127526" w:rsidP="00127526">
      <w:pPr>
        <w:pStyle w:val="Heading2"/>
      </w:pPr>
      <w:r>
        <w:t>5: Proposal 2 considers whether or not the Council should freeze the proposed uprating of the Bands for 2022/23 due to affordability.</w:t>
      </w:r>
      <w:r>
        <w:br/>
      </w:r>
      <w:r>
        <w:br/>
      </w:r>
      <w:r>
        <w:br/>
      </w:r>
      <w:r>
        <w:br/>
      </w:r>
      <w:r>
        <w:br/>
      </w:r>
      <w:r>
        <w:br/>
        <w:t>Do you agree or disagree with the proposal for freezing the income bands at the 2021/22 amounts?</w:t>
      </w:r>
    </w:p>
    <w:p w14:paraId="5BA827F4" w14:textId="77777777" w:rsidR="00127526" w:rsidRDefault="00127526" w:rsidP="00127526">
      <w:r>
        <w:rPr>
          <w:b/>
        </w:rPr>
        <w:t>Freezing income bands</w:t>
      </w:r>
    </w:p>
    <w:p w14:paraId="5D1194E1" w14:textId="77777777" w:rsidR="00127526" w:rsidRDefault="00127526" w:rsidP="00127526">
      <w:r>
        <w:t>There were 290 responses to this part of the question.</w:t>
      </w:r>
    </w:p>
    <w:p w14:paraId="06896265" w14:textId="77777777" w:rsidR="00127526" w:rsidRDefault="00127526" w:rsidP="00127526">
      <w:r>
        <w:rPr>
          <w:noProof/>
        </w:rPr>
        <w:lastRenderedPageBreak/>
        <w:drawing>
          <wp:inline distT="0" distB="0" distL="0" distR="0" wp14:anchorId="65B53F30" wp14:editId="7545FE02">
            <wp:extent cx="5400000" cy="2448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01D194A1"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F906A52" w14:textId="77777777" w:rsidR="00127526" w:rsidRDefault="00127526" w:rsidP="00127526">
            <w:r>
              <w:t>Option</w:t>
            </w:r>
          </w:p>
        </w:tc>
        <w:tc>
          <w:tcPr>
            <w:tcW w:w="1134" w:type="dxa"/>
          </w:tcPr>
          <w:p w14:paraId="424BBD61"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EAD1A29"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672B0EA2"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03F902B" w14:textId="77777777" w:rsidR="00127526" w:rsidRDefault="00127526" w:rsidP="00127526">
            <w:r>
              <w:t>Agree</w:t>
            </w:r>
          </w:p>
        </w:tc>
        <w:tc>
          <w:tcPr>
            <w:tcW w:w="1134" w:type="dxa"/>
          </w:tcPr>
          <w:p w14:paraId="018ABDD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138</w:t>
            </w:r>
          </w:p>
        </w:tc>
        <w:tc>
          <w:tcPr>
            <w:tcW w:w="1134" w:type="dxa"/>
          </w:tcPr>
          <w:p w14:paraId="42A24B2E"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46.94%</w:t>
            </w:r>
          </w:p>
        </w:tc>
      </w:tr>
      <w:tr w:rsidR="00127526" w14:paraId="367288B5"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DD49DE" w14:textId="77777777" w:rsidR="00127526" w:rsidRDefault="00127526" w:rsidP="00127526">
            <w:r>
              <w:t>Disagree</w:t>
            </w:r>
          </w:p>
        </w:tc>
        <w:tc>
          <w:tcPr>
            <w:tcW w:w="1134" w:type="dxa"/>
          </w:tcPr>
          <w:p w14:paraId="3967D4DE"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78</w:t>
            </w:r>
          </w:p>
        </w:tc>
        <w:tc>
          <w:tcPr>
            <w:tcW w:w="1134" w:type="dxa"/>
          </w:tcPr>
          <w:p w14:paraId="5F5E0F01"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26.53%</w:t>
            </w:r>
          </w:p>
        </w:tc>
      </w:tr>
      <w:tr w:rsidR="00127526" w14:paraId="6EEFBB0D"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2F35E72" w14:textId="77777777" w:rsidR="00127526" w:rsidRDefault="00127526" w:rsidP="00127526">
            <w:r>
              <w:t>Do not know</w:t>
            </w:r>
          </w:p>
        </w:tc>
        <w:tc>
          <w:tcPr>
            <w:tcW w:w="1134" w:type="dxa"/>
          </w:tcPr>
          <w:p w14:paraId="2D7B1B53"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74</w:t>
            </w:r>
          </w:p>
        </w:tc>
        <w:tc>
          <w:tcPr>
            <w:tcW w:w="1134" w:type="dxa"/>
          </w:tcPr>
          <w:p w14:paraId="66D405CF"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25.17%</w:t>
            </w:r>
          </w:p>
        </w:tc>
      </w:tr>
      <w:tr w:rsidR="00127526" w14:paraId="54BC01DD"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E7CE4A" w14:textId="77777777" w:rsidR="00127526" w:rsidRDefault="00127526" w:rsidP="00127526">
            <w:r>
              <w:t>Not Answered</w:t>
            </w:r>
          </w:p>
        </w:tc>
        <w:tc>
          <w:tcPr>
            <w:tcW w:w="1134" w:type="dxa"/>
          </w:tcPr>
          <w:p w14:paraId="40E1F4BA"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4</w:t>
            </w:r>
          </w:p>
        </w:tc>
        <w:tc>
          <w:tcPr>
            <w:tcW w:w="1134" w:type="dxa"/>
          </w:tcPr>
          <w:p w14:paraId="3776698C"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1.36%</w:t>
            </w:r>
          </w:p>
        </w:tc>
      </w:tr>
    </w:tbl>
    <w:p w14:paraId="4BA06B9A" w14:textId="77777777" w:rsidR="00127526" w:rsidRDefault="00127526" w:rsidP="00127526">
      <w:r>
        <w:br/>
      </w:r>
    </w:p>
    <w:p w14:paraId="644CD77F" w14:textId="77777777" w:rsidR="00127526" w:rsidRDefault="00127526" w:rsidP="00127526"/>
    <w:p w14:paraId="72F41A32" w14:textId="77777777" w:rsidR="00127526" w:rsidRDefault="00127526" w:rsidP="00127526">
      <w:pPr>
        <w:pStyle w:val="Heading2"/>
      </w:pPr>
      <w:r>
        <w:t>6: Please provide any comments you have on the income band scheme and this proposal.</w:t>
      </w:r>
    </w:p>
    <w:p w14:paraId="199DE20F" w14:textId="77777777" w:rsidR="00127526" w:rsidRDefault="00127526" w:rsidP="00127526">
      <w:r>
        <w:br/>
      </w:r>
      <w:r>
        <w:rPr>
          <w:b/>
        </w:rPr>
        <w:t>Comments</w:t>
      </w:r>
    </w:p>
    <w:p w14:paraId="58F61085" w14:textId="77777777" w:rsidR="00127526" w:rsidRDefault="00127526" w:rsidP="00127526">
      <w:r>
        <w:t>There were 74 responses to this part of the question.</w:t>
      </w:r>
    </w:p>
    <w:p w14:paraId="72E4AB8F" w14:textId="77777777" w:rsidR="00127526" w:rsidRDefault="00127526" w:rsidP="00127526"/>
    <w:p w14:paraId="499686B5" w14:textId="77777777" w:rsidR="00127526" w:rsidRDefault="00127526" w:rsidP="00127526">
      <w:pPr>
        <w:pStyle w:val="Heading2"/>
      </w:pPr>
      <w:r>
        <w:t>7: Do you think the Council should amend the banding structure to take into account the size of the household?</w:t>
      </w:r>
    </w:p>
    <w:p w14:paraId="2EBAAE0A" w14:textId="77777777" w:rsidR="00127526" w:rsidRDefault="00127526" w:rsidP="00127526">
      <w:r>
        <w:rPr>
          <w:b/>
        </w:rPr>
        <w:t>Household affects banding structure</w:t>
      </w:r>
    </w:p>
    <w:p w14:paraId="4AB378C5" w14:textId="77777777" w:rsidR="00127526" w:rsidRDefault="00127526" w:rsidP="00127526">
      <w:r>
        <w:t>There were 293 responses to this part of the question.</w:t>
      </w:r>
    </w:p>
    <w:p w14:paraId="622CEDD0" w14:textId="77777777" w:rsidR="00127526" w:rsidRDefault="00127526" w:rsidP="00127526">
      <w:r>
        <w:rPr>
          <w:noProof/>
        </w:rPr>
        <w:drawing>
          <wp:inline distT="0" distB="0" distL="0" distR="0" wp14:anchorId="192E904F" wp14:editId="2A62EAA9">
            <wp:extent cx="5400000" cy="2448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6F2C533E"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0AC3301" w14:textId="77777777" w:rsidR="00127526" w:rsidRDefault="00127526" w:rsidP="00127526">
            <w:r>
              <w:lastRenderedPageBreak/>
              <w:t>Option</w:t>
            </w:r>
          </w:p>
        </w:tc>
        <w:tc>
          <w:tcPr>
            <w:tcW w:w="1134" w:type="dxa"/>
          </w:tcPr>
          <w:p w14:paraId="192DA387"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6E736C2"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4073E382"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825628" w14:textId="77777777" w:rsidR="00127526" w:rsidRDefault="00127526" w:rsidP="00127526">
            <w:r>
              <w:t>Yes</w:t>
            </w:r>
          </w:p>
        </w:tc>
        <w:tc>
          <w:tcPr>
            <w:tcW w:w="1134" w:type="dxa"/>
          </w:tcPr>
          <w:p w14:paraId="2D2FEDE9"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154</w:t>
            </w:r>
          </w:p>
        </w:tc>
        <w:tc>
          <w:tcPr>
            <w:tcW w:w="1134" w:type="dxa"/>
          </w:tcPr>
          <w:p w14:paraId="22C6D206"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52.38%</w:t>
            </w:r>
          </w:p>
        </w:tc>
      </w:tr>
      <w:tr w:rsidR="00127526" w14:paraId="5B48141D"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8EBB5F6" w14:textId="77777777" w:rsidR="00127526" w:rsidRDefault="00127526" w:rsidP="00127526">
            <w:r>
              <w:t>No</w:t>
            </w:r>
          </w:p>
        </w:tc>
        <w:tc>
          <w:tcPr>
            <w:tcW w:w="1134" w:type="dxa"/>
          </w:tcPr>
          <w:p w14:paraId="45B08000"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66</w:t>
            </w:r>
          </w:p>
        </w:tc>
        <w:tc>
          <w:tcPr>
            <w:tcW w:w="1134" w:type="dxa"/>
          </w:tcPr>
          <w:p w14:paraId="1F2B4D7A"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22.45%</w:t>
            </w:r>
          </w:p>
        </w:tc>
      </w:tr>
      <w:tr w:rsidR="00127526" w14:paraId="0BB3C55C"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73891B8" w14:textId="77777777" w:rsidR="00127526" w:rsidRDefault="00127526" w:rsidP="00127526">
            <w:r>
              <w:t>Do not know</w:t>
            </w:r>
          </w:p>
        </w:tc>
        <w:tc>
          <w:tcPr>
            <w:tcW w:w="1134" w:type="dxa"/>
          </w:tcPr>
          <w:p w14:paraId="503B4358"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73</w:t>
            </w:r>
          </w:p>
        </w:tc>
        <w:tc>
          <w:tcPr>
            <w:tcW w:w="1134" w:type="dxa"/>
          </w:tcPr>
          <w:p w14:paraId="0C93586B"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24.83%</w:t>
            </w:r>
          </w:p>
        </w:tc>
      </w:tr>
      <w:tr w:rsidR="00127526" w14:paraId="6BD9531E"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AA70EA7" w14:textId="77777777" w:rsidR="00127526" w:rsidRDefault="00127526" w:rsidP="00127526">
            <w:r>
              <w:t>Not Answered</w:t>
            </w:r>
          </w:p>
        </w:tc>
        <w:tc>
          <w:tcPr>
            <w:tcW w:w="1134" w:type="dxa"/>
          </w:tcPr>
          <w:p w14:paraId="45E9C0EF"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339B675E"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0.34%</w:t>
            </w:r>
          </w:p>
        </w:tc>
      </w:tr>
    </w:tbl>
    <w:p w14:paraId="0B569B2A" w14:textId="77777777" w:rsidR="00127526" w:rsidRDefault="00127526" w:rsidP="00127526">
      <w:r>
        <w:br/>
      </w:r>
    </w:p>
    <w:p w14:paraId="148B5814" w14:textId="77777777" w:rsidR="00127526" w:rsidRDefault="00127526" w:rsidP="00127526"/>
    <w:p w14:paraId="40BEA51F" w14:textId="77777777" w:rsidR="00127526" w:rsidRDefault="00127526" w:rsidP="00127526">
      <w:pPr>
        <w:pStyle w:val="Heading2"/>
      </w:pPr>
      <w:r>
        <w:t>8: Please provide any comments you have on amending the banding structure to take into account the size of the household.</w:t>
      </w:r>
    </w:p>
    <w:p w14:paraId="6CD17664" w14:textId="77777777" w:rsidR="00127526" w:rsidRDefault="00127526" w:rsidP="00127526">
      <w:r>
        <w:br/>
      </w:r>
      <w:r>
        <w:rPr>
          <w:b/>
        </w:rPr>
        <w:t>Comments</w:t>
      </w:r>
    </w:p>
    <w:p w14:paraId="3AB7DC41" w14:textId="77777777" w:rsidR="00127526" w:rsidRDefault="00127526" w:rsidP="00127526">
      <w:r>
        <w:t>There were 82 responses to this part of the question.</w:t>
      </w:r>
    </w:p>
    <w:p w14:paraId="3A898241" w14:textId="77777777" w:rsidR="00127526" w:rsidRDefault="00127526" w:rsidP="00127526"/>
    <w:p w14:paraId="4856CCE2" w14:textId="77777777" w:rsidR="00127526" w:rsidRDefault="00127526" w:rsidP="00127526">
      <w:pPr>
        <w:pStyle w:val="Heading2"/>
      </w:pPr>
      <w:r>
        <w:t>9: In your view, should everyone pay towards their Council Tax charge?</w:t>
      </w:r>
    </w:p>
    <w:p w14:paraId="44FEC8B4" w14:textId="77777777" w:rsidR="00127526" w:rsidRDefault="00127526" w:rsidP="00127526">
      <w:r>
        <w:rPr>
          <w:b/>
        </w:rPr>
        <w:t>Minimum charge</w:t>
      </w:r>
    </w:p>
    <w:p w14:paraId="7D66699E" w14:textId="77777777" w:rsidR="00127526" w:rsidRDefault="00127526" w:rsidP="00127526">
      <w:r>
        <w:t>There were 294 responses to this part of the question.</w:t>
      </w:r>
    </w:p>
    <w:p w14:paraId="5CEED67F" w14:textId="77777777" w:rsidR="00127526" w:rsidRDefault="00127526" w:rsidP="00127526">
      <w:r>
        <w:rPr>
          <w:noProof/>
        </w:rPr>
        <w:drawing>
          <wp:inline distT="0" distB="0" distL="0" distR="0" wp14:anchorId="2FD12592" wp14:editId="059B1328">
            <wp:extent cx="5400000" cy="2015999"/>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024243D2"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A7A8F7" w14:textId="77777777" w:rsidR="00127526" w:rsidRDefault="00127526" w:rsidP="00127526">
            <w:r>
              <w:t>Option</w:t>
            </w:r>
          </w:p>
        </w:tc>
        <w:tc>
          <w:tcPr>
            <w:tcW w:w="1134" w:type="dxa"/>
          </w:tcPr>
          <w:p w14:paraId="2809FBFA"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2145D0B"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00D9F9FD"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3307414" w14:textId="77777777" w:rsidR="00127526" w:rsidRDefault="00127526" w:rsidP="00127526">
            <w:r>
              <w:t>Yes</w:t>
            </w:r>
          </w:p>
        </w:tc>
        <w:tc>
          <w:tcPr>
            <w:tcW w:w="1134" w:type="dxa"/>
          </w:tcPr>
          <w:p w14:paraId="34E2043A"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102</w:t>
            </w:r>
          </w:p>
        </w:tc>
        <w:tc>
          <w:tcPr>
            <w:tcW w:w="1134" w:type="dxa"/>
          </w:tcPr>
          <w:p w14:paraId="5DC8F132"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34.69%</w:t>
            </w:r>
          </w:p>
        </w:tc>
      </w:tr>
      <w:tr w:rsidR="00127526" w14:paraId="779F070B"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5804D3" w14:textId="77777777" w:rsidR="00127526" w:rsidRDefault="00127526" w:rsidP="00127526">
            <w:r>
              <w:t>No</w:t>
            </w:r>
          </w:p>
        </w:tc>
        <w:tc>
          <w:tcPr>
            <w:tcW w:w="1134" w:type="dxa"/>
          </w:tcPr>
          <w:p w14:paraId="5CBDE90B"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159</w:t>
            </w:r>
          </w:p>
        </w:tc>
        <w:tc>
          <w:tcPr>
            <w:tcW w:w="1134" w:type="dxa"/>
          </w:tcPr>
          <w:p w14:paraId="7CA240DB"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54.08%</w:t>
            </w:r>
          </w:p>
        </w:tc>
      </w:tr>
      <w:tr w:rsidR="00127526" w14:paraId="65A56005"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DE2A02" w14:textId="77777777" w:rsidR="00127526" w:rsidRDefault="00127526" w:rsidP="00127526">
            <w:r>
              <w:t>Do not know</w:t>
            </w:r>
          </w:p>
        </w:tc>
        <w:tc>
          <w:tcPr>
            <w:tcW w:w="1134" w:type="dxa"/>
          </w:tcPr>
          <w:p w14:paraId="27FE4FB1"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33</w:t>
            </w:r>
          </w:p>
        </w:tc>
        <w:tc>
          <w:tcPr>
            <w:tcW w:w="1134" w:type="dxa"/>
          </w:tcPr>
          <w:p w14:paraId="6243FF48"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11.22%</w:t>
            </w:r>
          </w:p>
        </w:tc>
      </w:tr>
      <w:tr w:rsidR="00127526" w14:paraId="090CDB48"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4618B1E" w14:textId="77777777" w:rsidR="00127526" w:rsidRDefault="00127526" w:rsidP="00127526">
            <w:r>
              <w:t>Not Answered</w:t>
            </w:r>
          </w:p>
        </w:tc>
        <w:tc>
          <w:tcPr>
            <w:tcW w:w="1134" w:type="dxa"/>
          </w:tcPr>
          <w:p w14:paraId="7D22B591"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379C7A4E"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0.00%</w:t>
            </w:r>
          </w:p>
        </w:tc>
      </w:tr>
    </w:tbl>
    <w:p w14:paraId="4D44FD92" w14:textId="77777777" w:rsidR="00127526" w:rsidRDefault="00127526" w:rsidP="00127526">
      <w:r>
        <w:br/>
      </w:r>
    </w:p>
    <w:p w14:paraId="6AC0AE84" w14:textId="77777777" w:rsidR="00127526" w:rsidRDefault="00127526" w:rsidP="00127526"/>
    <w:p w14:paraId="7CF3EE0B" w14:textId="77777777" w:rsidR="00127526" w:rsidRDefault="00127526" w:rsidP="00127526">
      <w:pPr>
        <w:pStyle w:val="Heading2"/>
      </w:pPr>
      <w:r>
        <w:t>10: Do you think that all claimants should make some contribution towards the Council Tax regardless of their Income?</w:t>
      </w:r>
    </w:p>
    <w:p w14:paraId="35001202" w14:textId="77777777" w:rsidR="00127526" w:rsidRDefault="00127526" w:rsidP="00127526">
      <w:r>
        <w:rPr>
          <w:b/>
        </w:rPr>
        <w:t>All pay regardless of passporting</w:t>
      </w:r>
    </w:p>
    <w:p w14:paraId="5EBFB3DC" w14:textId="77777777" w:rsidR="00127526" w:rsidRDefault="00127526" w:rsidP="00127526">
      <w:r>
        <w:t>There were 294 responses to this part of the question.</w:t>
      </w:r>
    </w:p>
    <w:p w14:paraId="7B63F6A7" w14:textId="77777777" w:rsidR="00127526" w:rsidRDefault="00127526" w:rsidP="00127526">
      <w:r>
        <w:rPr>
          <w:noProof/>
        </w:rPr>
        <w:lastRenderedPageBreak/>
        <w:drawing>
          <wp:inline distT="0" distB="0" distL="0" distR="0" wp14:anchorId="293A9317" wp14:editId="47299D9D">
            <wp:extent cx="5400000" cy="2015999"/>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0DE4D105"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4FA6EE9" w14:textId="77777777" w:rsidR="00127526" w:rsidRDefault="00127526" w:rsidP="00127526">
            <w:r>
              <w:t>Option</w:t>
            </w:r>
          </w:p>
        </w:tc>
        <w:tc>
          <w:tcPr>
            <w:tcW w:w="1134" w:type="dxa"/>
          </w:tcPr>
          <w:p w14:paraId="567DBF6E"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3125B02F"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3364888D"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336D68" w14:textId="77777777" w:rsidR="00127526" w:rsidRDefault="00127526" w:rsidP="00127526">
            <w:r>
              <w:t>Yes</w:t>
            </w:r>
          </w:p>
        </w:tc>
        <w:tc>
          <w:tcPr>
            <w:tcW w:w="1134" w:type="dxa"/>
          </w:tcPr>
          <w:p w14:paraId="35F8F849"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90</w:t>
            </w:r>
          </w:p>
        </w:tc>
        <w:tc>
          <w:tcPr>
            <w:tcW w:w="1134" w:type="dxa"/>
          </w:tcPr>
          <w:p w14:paraId="2B59E9A1"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30.61%</w:t>
            </w:r>
          </w:p>
        </w:tc>
      </w:tr>
      <w:tr w:rsidR="00127526" w14:paraId="27156E1A"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2D75281" w14:textId="77777777" w:rsidR="00127526" w:rsidRDefault="00127526" w:rsidP="00127526">
            <w:r>
              <w:t>No</w:t>
            </w:r>
          </w:p>
        </w:tc>
        <w:tc>
          <w:tcPr>
            <w:tcW w:w="1134" w:type="dxa"/>
          </w:tcPr>
          <w:p w14:paraId="0984EB12"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177</w:t>
            </w:r>
          </w:p>
        </w:tc>
        <w:tc>
          <w:tcPr>
            <w:tcW w:w="1134" w:type="dxa"/>
          </w:tcPr>
          <w:p w14:paraId="4B3ABA99"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60.20%</w:t>
            </w:r>
          </w:p>
        </w:tc>
      </w:tr>
      <w:tr w:rsidR="00127526" w14:paraId="48A7D596"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C2DB235" w14:textId="77777777" w:rsidR="00127526" w:rsidRDefault="00127526" w:rsidP="00127526">
            <w:r>
              <w:t>Do not know</w:t>
            </w:r>
          </w:p>
        </w:tc>
        <w:tc>
          <w:tcPr>
            <w:tcW w:w="1134" w:type="dxa"/>
          </w:tcPr>
          <w:p w14:paraId="001AA87F"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27</w:t>
            </w:r>
          </w:p>
        </w:tc>
        <w:tc>
          <w:tcPr>
            <w:tcW w:w="1134" w:type="dxa"/>
          </w:tcPr>
          <w:p w14:paraId="19BED2C0"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9.18%</w:t>
            </w:r>
          </w:p>
        </w:tc>
      </w:tr>
      <w:tr w:rsidR="00127526" w14:paraId="30FFD1CF"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9B9A86C" w14:textId="77777777" w:rsidR="00127526" w:rsidRDefault="00127526" w:rsidP="00127526">
            <w:r>
              <w:t>Not Answered</w:t>
            </w:r>
          </w:p>
        </w:tc>
        <w:tc>
          <w:tcPr>
            <w:tcW w:w="1134" w:type="dxa"/>
          </w:tcPr>
          <w:p w14:paraId="127F2DD9"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340EA5EA"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0.00%</w:t>
            </w:r>
          </w:p>
        </w:tc>
      </w:tr>
    </w:tbl>
    <w:p w14:paraId="6120B6D5" w14:textId="77777777" w:rsidR="00127526" w:rsidRDefault="00127526" w:rsidP="00127526">
      <w:r>
        <w:br/>
      </w:r>
    </w:p>
    <w:p w14:paraId="3F12F1E7" w14:textId="77777777" w:rsidR="00127526" w:rsidRDefault="00127526" w:rsidP="00127526"/>
    <w:p w14:paraId="54D713AB" w14:textId="77777777" w:rsidR="00127526" w:rsidRDefault="00127526" w:rsidP="00127526">
      <w:pPr>
        <w:pStyle w:val="Heading2"/>
      </w:pPr>
      <w:r>
        <w:t>11: Please provide any comments you have on reducing the amount of CTR for claimants.</w:t>
      </w:r>
    </w:p>
    <w:p w14:paraId="5A1A5E69" w14:textId="77777777" w:rsidR="00127526" w:rsidRDefault="00127526" w:rsidP="00127526">
      <w:r>
        <w:br/>
      </w:r>
      <w:r>
        <w:rPr>
          <w:b/>
        </w:rPr>
        <w:t>Comments</w:t>
      </w:r>
    </w:p>
    <w:p w14:paraId="40A4D370" w14:textId="77777777" w:rsidR="00127526" w:rsidRDefault="00127526" w:rsidP="00127526">
      <w:r>
        <w:t>There were 106 responses to this part of the question.</w:t>
      </w:r>
    </w:p>
    <w:p w14:paraId="0E503BBE" w14:textId="77777777" w:rsidR="00127526" w:rsidRDefault="00127526" w:rsidP="00127526"/>
    <w:p w14:paraId="3710A983" w14:textId="77777777" w:rsidR="00127526" w:rsidRDefault="00127526" w:rsidP="00127526">
      <w:pPr>
        <w:pStyle w:val="Heading2"/>
      </w:pPr>
      <w:r>
        <w:t>12: Do you think we should restrict the CTR award to 75% where there is at least one non-dependent in the household and neither the claimant or non-dependent is in receipt of a disability benefit?</w:t>
      </w:r>
    </w:p>
    <w:p w14:paraId="1543D6FE" w14:textId="77777777" w:rsidR="00127526" w:rsidRDefault="00127526" w:rsidP="00127526">
      <w:r>
        <w:rPr>
          <w:b/>
        </w:rPr>
        <w:t>Non deps</w:t>
      </w:r>
    </w:p>
    <w:p w14:paraId="669B7DED" w14:textId="77777777" w:rsidR="00127526" w:rsidRDefault="00127526" w:rsidP="00127526">
      <w:r>
        <w:t>There were 290 responses to this part of the question.</w:t>
      </w:r>
    </w:p>
    <w:p w14:paraId="763ADB04" w14:textId="77777777" w:rsidR="00127526" w:rsidRDefault="00127526" w:rsidP="00127526">
      <w:r>
        <w:rPr>
          <w:noProof/>
        </w:rPr>
        <w:drawing>
          <wp:inline distT="0" distB="0" distL="0" distR="0" wp14:anchorId="22907C15" wp14:editId="1BF508A0">
            <wp:extent cx="5400000" cy="2448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6F49934E"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F11433" w14:textId="77777777" w:rsidR="00127526" w:rsidRDefault="00127526" w:rsidP="00127526">
            <w:r>
              <w:t>Option</w:t>
            </w:r>
          </w:p>
        </w:tc>
        <w:tc>
          <w:tcPr>
            <w:tcW w:w="1134" w:type="dxa"/>
          </w:tcPr>
          <w:p w14:paraId="1DA0CA29"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3C78545F"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11B95370"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A50C85" w14:textId="77777777" w:rsidR="00127526" w:rsidRDefault="00127526" w:rsidP="00127526">
            <w:r>
              <w:t>Yes</w:t>
            </w:r>
          </w:p>
        </w:tc>
        <w:tc>
          <w:tcPr>
            <w:tcW w:w="1134" w:type="dxa"/>
          </w:tcPr>
          <w:p w14:paraId="7ADE4DD0"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114</w:t>
            </w:r>
          </w:p>
        </w:tc>
        <w:tc>
          <w:tcPr>
            <w:tcW w:w="1134" w:type="dxa"/>
          </w:tcPr>
          <w:p w14:paraId="3D5C1C60"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38.78%</w:t>
            </w:r>
          </w:p>
        </w:tc>
      </w:tr>
      <w:tr w:rsidR="00127526" w14:paraId="71C5804E"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C2AAE2" w14:textId="77777777" w:rsidR="00127526" w:rsidRDefault="00127526" w:rsidP="00127526">
            <w:r>
              <w:lastRenderedPageBreak/>
              <w:t>No</w:t>
            </w:r>
          </w:p>
        </w:tc>
        <w:tc>
          <w:tcPr>
            <w:tcW w:w="1134" w:type="dxa"/>
          </w:tcPr>
          <w:p w14:paraId="0022669D"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99</w:t>
            </w:r>
          </w:p>
        </w:tc>
        <w:tc>
          <w:tcPr>
            <w:tcW w:w="1134" w:type="dxa"/>
          </w:tcPr>
          <w:p w14:paraId="42C74597"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33.67%</w:t>
            </w:r>
          </w:p>
        </w:tc>
      </w:tr>
      <w:tr w:rsidR="00127526" w14:paraId="635913A4"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D81F61" w14:textId="77777777" w:rsidR="00127526" w:rsidRDefault="00127526" w:rsidP="00127526">
            <w:r>
              <w:t>Do not know</w:t>
            </w:r>
          </w:p>
        </w:tc>
        <w:tc>
          <w:tcPr>
            <w:tcW w:w="1134" w:type="dxa"/>
          </w:tcPr>
          <w:p w14:paraId="3E38AD92"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77</w:t>
            </w:r>
          </w:p>
        </w:tc>
        <w:tc>
          <w:tcPr>
            <w:tcW w:w="1134" w:type="dxa"/>
          </w:tcPr>
          <w:p w14:paraId="1F679202"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26.19%</w:t>
            </w:r>
          </w:p>
        </w:tc>
      </w:tr>
      <w:tr w:rsidR="00127526" w14:paraId="12CD6F98"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B536E44" w14:textId="77777777" w:rsidR="00127526" w:rsidRDefault="00127526" w:rsidP="00127526">
            <w:r>
              <w:t>Not Answered</w:t>
            </w:r>
          </w:p>
        </w:tc>
        <w:tc>
          <w:tcPr>
            <w:tcW w:w="1134" w:type="dxa"/>
          </w:tcPr>
          <w:p w14:paraId="7ABA11EC"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4</w:t>
            </w:r>
          </w:p>
        </w:tc>
        <w:tc>
          <w:tcPr>
            <w:tcW w:w="1134" w:type="dxa"/>
          </w:tcPr>
          <w:p w14:paraId="4F4E883D"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1.36%</w:t>
            </w:r>
          </w:p>
        </w:tc>
      </w:tr>
    </w:tbl>
    <w:p w14:paraId="6E3ECF1E" w14:textId="77777777" w:rsidR="00127526" w:rsidRDefault="00127526" w:rsidP="00127526">
      <w:r>
        <w:br/>
      </w:r>
    </w:p>
    <w:p w14:paraId="7A9C94E0" w14:textId="77777777" w:rsidR="00127526" w:rsidRDefault="00127526" w:rsidP="00127526"/>
    <w:p w14:paraId="640853A1" w14:textId="77777777" w:rsidR="00127526" w:rsidRDefault="00127526" w:rsidP="00127526">
      <w:pPr>
        <w:pStyle w:val="Heading2"/>
      </w:pPr>
      <w:r>
        <w:t>13: Please provide any comments you have on reducing the amount of CTR for certain households with a non-dependent?</w:t>
      </w:r>
    </w:p>
    <w:p w14:paraId="2E7D23E0" w14:textId="77777777" w:rsidR="00127526" w:rsidRDefault="00127526" w:rsidP="00127526">
      <w:r>
        <w:br/>
      </w:r>
      <w:r>
        <w:rPr>
          <w:b/>
        </w:rPr>
        <w:t>Comments</w:t>
      </w:r>
    </w:p>
    <w:p w14:paraId="11D620CB" w14:textId="77777777" w:rsidR="00127526" w:rsidRDefault="00127526" w:rsidP="00127526">
      <w:r>
        <w:t>There were 59 responses to this part of the question.</w:t>
      </w:r>
    </w:p>
    <w:p w14:paraId="5EB4CC1C" w14:textId="77777777" w:rsidR="00127526" w:rsidRDefault="00127526" w:rsidP="00127526"/>
    <w:p w14:paraId="59072922" w14:textId="77777777" w:rsidR="00127526" w:rsidRDefault="00127526" w:rsidP="00127526">
      <w:pPr>
        <w:pStyle w:val="Heading2"/>
      </w:pPr>
      <w:r>
        <w:t>14: Increase the level of Council Tax</w:t>
      </w:r>
    </w:p>
    <w:p w14:paraId="02C1EAD3" w14:textId="77777777" w:rsidR="00127526" w:rsidRDefault="007E6FFC" w:rsidP="00127526">
      <w:r>
        <w:rPr>
          <w:b/>
        </w:rPr>
        <w:t>Increase</w:t>
      </w:r>
      <w:r w:rsidR="00127526">
        <w:rPr>
          <w:b/>
        </w:rPr>
        <w:t xml:space="preserve"> Ctax</w:t>
      </w:r>
    </w:p>
    <w:p w14:paraId="645A6296" w14:textId="77777777" w:rsidR="00127526" w:rsidRDefault="00127526" w:rsidP="00127526">
      <w:r>
        <w:t>There were 291 responses to this part of the question.</w:t>
      </w:r>
    </w:p>
    <w:p w14:paraId="7A850EB3" w14:textId="77777777" w:rsidR="00127526" w:rsidRDefault="00127526" w:rsidP="00127526">
      <w:r>
        <w:rPr>
          <w:noProof/>
        </w:rPr>
        <w:drawing>
          <wp:inline distT="0" distB="0" distL="0" distR="0" wp14:anchorId="2258912F" wp14:editId="3AC66E3F">
            <wp:extent cx="5400000" cy="2448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22151CA4"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91E3AF" w14:textId="77777777" w:rsidR="00127526" w:rsidRDefault="00127526" w:rsidP="00127526">
            <w:r>
              <w:t>Option</w:t>
            </w:r>
          </w:p>
        </w:tc>
        <w:tc>
          <w:tcPr>
            <w:tcW w:w="1134" w:type="dxa"/>
          </w:tcPr>
          <w:p w14:paraId="40D897C0"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0427F29"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66EE4817"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F883C4" w14:textId="77777777" w:rsidR="00127526" w:rsidRDefault="00127526" w:rsidP="00127526">
            <w:r>
              <w:t>Yes</w:t>
            </w:r>
          </w:p>
        </w:tc>
        <w:tc>
          <w:tcPr>
            <w:tcW w:w="1134" w:type="dxa"/>
          </w:tcPr>
          <w:p w14:paraId="3EE3B4EB"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42</w:t>
            </w:r>
          </w:p>
        </w:tc>
        <w:tc>
          <w:tcPr>
            <w:tcW w:w="1134" w:type="dxa"/>
          </w:tcPr>
          <w:p w14:paraId="40A0767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14.29%</w:t>
            </w:r>
          </w:p>
        </w:tc>
      </w:tr>
      <w:tr w:rsidR="00127526" w14:paraId="377A9168"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507A69" w14:textId="77777777" w:rsidR="00127526" w:rsidRDefault="00127526" w:rsidP="00127526">
            <w:r>
              <w:t>No</w:t>
            </w:r>
          </w:p>
        </w:tc>
        <w:tc>
          <w:tcPr>
            <w:tcW w:w="1134" w:type="dxa"/>
          </w:tcPr>
          <w:p w14:paraId="5075091A"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207</w:t>
            </w:r>
          </w:p>
        </w:tc>
        <w:tc>
          <w:tcPr>
            <w:tcW w:w="1134" w:type="dxa"/>
          </w:tcPr>
          <w:p w14:paraId="34EB070F"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70.41%</w:t>
            </w:r>
          </w:p>
        </w:tc>
      </w:tr>
      <w:tr w:rsidR="00127526" w14:paraId="5B7D13FF"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291D24" w14:textId="77777777" w:rsidR="00127526" w:rsidRDefault="00127526" w:rsidP="00127526">
            <w:r>
              <w:t>Do not know</w:t>
            </w:r>
          </w:p>
        </w:tc>
        <w:tc>
          <w:tcPr>
            <w:tcW w:w="1134" w:type="dxa"/>
          </w:tcPr>
          <w:p w14:paraId="684FF087"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42</w:t>
            </w:r>
          </w:p>
        </w:tc>
        <w:tc>
          <w:tcPr>
            <w:tcW w:w="1134" w:type="dxa"/>
          </w:tcPr>
          <w:p w14:paraId="5DCB4E06"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14.29%</w:t>
            </w:r>
          </w:p>
        </w:tc>
      </w:tr>
      <w:tr w:rsidR="00127526" w14:paraId="2D7894D2"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74F2FA" w14:textId="77777777" w:rsidR="00127526" w:rsidRDefault="00127526" w:rsidP="00127526">
            <w:r>
              <w:t>Not Answered</w:t>
            </w:r>
          </w:p>
        </w:tc>
        <w:tc>
          <w:tcPr>
            <w:tcW w:w="1134" w:type="dxa"/>
          </w:tcPr>
          <w:p w14:paraId="699A5CC0"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61E51C39"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1.02%</w:t>
            </w:r>
          </w:p>
        </w:tc>
      </w:tr>
    </w:tbl>
    <w:p w14:paraId="05F1F52A" w14:textId="77777777" w:rsidR="00127526" w:rsidRDefault="00127526" w:rsidP="00127526">
      <w:r>
        <w:br/>
      </w:r>
    </w:p>
    <w:p w14:paraId="2E56FA91" w14:textId="77777777" w:rsidR="00127526" w:rsidRDefault="00127526" w:rsidP="00127526"/>
    <w:p w14:paraId="59D749E4" w14:textId="77777777" w:rsidR="00127526" w:rsidRDefault="00127526" w:rsidP="00127526">
      <w:pPr>
        <w:pStyle w:val="Heading2"/>
      </w:pPr>
      <w:r>
        <w:t>15: Find savings from cutting other council services</w:t>
      </w:r>
    </w:p>
    <w:p w14:paraId="333A9907" w14:textId="77777777" w:rsidR="00127526" w:rsidRDefault="00127526" w:rsidP="00127526">
      <w:r>
        <w:rPr>
          <w:b/>
        </w:rPr>
        <w:t>Cut services</w:t>
      </w:r>
    </w:p>
    <w:p w14:paraId="6A0D7C47" w14:textId="77777777" w:rsidR="00127526" w:rsidRDefault="00127526" w:rsidP="00127526">
      <w:r>
        <w:t>There were 289 responses to this part of the question.</w:t>
      </w:r>
    </w:p>
    <w:p w14:paraId="2265AEB9" w14:textId="77777777" w:rsidR="00127526" w:rsidRDefault="00127526" w:rsidP="00127526">
      <w:r>
        <w:rPr>
          <w:noProof/>
        </w:rPr>
        <w:lastRenderedPageBreak/>
        <w:drawing>
          <wp:inline distT="0" distB="0" distL="0" distR="0" wp14:anchorId="69804D3D" wp14:editId="7A1FFBA4">
            <wp:extent cx="5400000" cy="2448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15DA499D"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1ECBD82" w14:textId="77777777" w:rsidR="00127526" w:rsidRDefault="00127526" w:rsidP="00127526">
            <w:r>
              <w:t>Option</w:t>
            </w:r>
          </w:p>
        </w:tc>
        <w:tc>
          <w:tcPr>
            <w:tcW w:w="1134" w:type="dxa"/>
          </w:tcPr>
          <w:p w14:paraId="622EF6F2"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3EC49022"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4EF9593B"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46B6AB" w14:textId="77777777" w:rsidR="00127526" w:rsidRDefault="00127526" w:rsidP="00127526">
            <w:r>
              <w:t>Yes</w:t>
            </w:r>
          </w:p>
        </w:tc>
        <w:tc>
          <w:tcPr>
            <w:tcW w:w="1134" w:type="dxa"/>
          </w:tcPr>
          <w:p w14:paraId="1DDAA586"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124</w:t>
            </w:r>
          </w:p>
        </w:tc>
        <w:tc>
          <w:tcPr>
            <w:tcW w:w="1134" w:type="dxa"/>
          </w:tcPr>
          <w:p w14:paraId="680CD2A1"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42.18%</w:t>
            </w:r>
          </w:p>
        </w:tc>
      </w:tr>
      <w:tr w:rsidR="00127526" w14:paraId="321D9B3A"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E1181B" w14:textId="77777777" w:rsidR="00127526" w:rsidRDefault="00127526" w:rsidP="00127526">
            <w:r>
              <w:t>No</w:t>
            </w:r>
          </w:p>
        </w:tc>
        <w:tc>
          <w:tcPr>
            <w:tcW w:w="1134" w:type="dxa"/>
          </w:tcPr>
          <w:p w14:paraId="2C669E53"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114</w:t>
            </w:r>
          </w:p>
        </w:tc>
        <w:tc>
          <w:tcPr>
            <w:tcW w:w="1134" w:type="dxa"/>
          </w:tcPr>
          <w:p w14:paraId="77D499CF"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38.78%</w:t>
            </w:r>
          </w:p>
        </w:tc>
      </w:tr>
      <w:tr w:rsidR="00127526" w14:paraId="6B80AF53"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4D8D1D1" w14:textId="77777777" w:rsidR="00127526" w:rsidRDefault="00127526" w:rsidP="00127526">
            <w:r>
              <w:t>Do not know</w:t>
            </w:r>
          </w:p>
        </w:tc>
        <w:tc>
          <w:tcPr>
            <w:tcW w:w="1134" w:type="dxa"/>
          </w:tcPr>
          <w:p w14:paraId="7CF61F48"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51</w:t>
            </w:r>
          </w:p>
        </w:tc>
        <w:tc>
          <w:tcPr>
            <w:tcW w:w="1134" w:type="dxa"/>
          </w:tcPr>
          <w:p w14:paraId="091AFDA1"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17.35%</w:t>
            </w:r>
          </w:p>
        </w:tc>
      </w:tr>
      <w:tr w:rsidR="00127526" w14:paraId="3C7CD832"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D2F8F1" w14:textId="77777777" w:rsidR="00127526" w:rsidRDefault="00127526" w:rsidP="00127526">
            <w:r>
              <w:t>Not Answered</w:t>
            </w:r>
          </w:p>
        </w:tc>
        <w:tc>
          <w:tcPr>
            <w:tcW w:w="1134" w:type="dxa"/>
          </w:tcPr>
          <w:p w14:paraId="32A4FDB5"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5</w:t>
            </w:r>
          </w:p>
        </w:tc>
        <w:tc>
          <w:tcPr>
            <w:tcW w:w="1134" w:type="dxa"/>
          </w:tcPr>
          <w:p w14:paraId="7EA5DF84"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1.70%</w:t>
            </w:r>
          </w:p>
        </w:tc>
      </w:tr>
    </w:tbl>
    <w:p w14:paraId="1C7EB8C7" w14:textId="77777777" w:rsidR="00127526" w:rsidRDefault="00127526" w:rsidP="00127526">
      <w:r>
        <w:br/>
      </w:r>
    </w:p>
    <w:p w14:paraId="44837020" w14:textId="77777777" w:rsidR="00127526" w:rsidRDefault="00127526" w:rsidP="00127526"/>
    <w:p w14:paraId="0171608F" w14:textId="77777777" w:rsidR="00127526" w:rsidRDefault="00127526" w:rsidP="00127526">
      <w:pPr>
        <w:pStyle w:val="Heading2"/>
      </w:pPr>
      <w:r>
        <w:t>16: Increase fees and charges</w:t>
      </w:r>
    </w:p>
    <w:p w14:paraId="7591F4C2" w14:textId="77777777" w:rsidR="00127526" w:rsidRDefault="007E6FFC" w:rsidP="00127526">
      <w:r>
        <w:rPr>
          <w:b/>
        </w:rPr>
        <w:t>Increase</w:t>
      </w:r>
      <w:r w:rsidR="00127526">
        <w:rPr>
          <w:b/>
        </w:rPr>
        <w:t xml:space="preserve"> fees and charges</w:t>
      </w:r>
    </w:p>
    <w:p w14:paraId="7B67BA20" w14:textId="77777777" w:rsidR="00127526" w:rsidRDefault="00127526" w:rsidP="00127526">
      <w:r>
        <w:t>There were 286 responses to this part of the question.</w:t>
      </w:r>
    </w:p>
    <w:p w14:paraId="555C488C" w14:textId="77777777" w:rsidR="00127526" w:rsidRDefault="00127526" w:rsidP="00127526">
      <w:r>
        <w:rPr>
          <w:noProof/>
        </w:rPr>
        <w:drawing>
          <wp:inline distT="0" distB="0" distL="0" distR="0" wp14:anchorId="3805C4A8" wp14:editId="50562118">
            <wp:extent cx="5400000" cy="2448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27DA9830"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58047E" w14:textId="77777777" w:rsidR="00127526" w:rsidRDefault="00127526" w:rsidP="00127526">
            <w:r>
              <w:t>Option</w:t>
            </w:r>
          </w:p>
        </w:tc>
        <w:tc>
          <w:tcPr>
            <w:tcW w:w="1134" w:type="dxa"/>
          </w:tcPr>
          <w:p w14:paraId="5BB1233F"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35A2210C"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1B01652B"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80D2037" w14:textId="77777777" w:rsidR="00127526" w:rsidRDefault="00127526" w:rsidP="00127526">
            <w:r>
              <w:t>Yes</w:t>
            </w:r>
          </w:p>
        </w:tc>
        <w:tc>
          <w:tcPr>
            <w:tcW w:w="1134" w:type="dxa"/>
          </w:tcPr>
          <w:p w14:paraId="7A9988F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43</w:t>
            </w:r>
          </w:p>
        </w:tc>
        <w:tc>
          <w:tcPr>
            <w:tcW w:w="1134" w:type="dxa"/>
          </w:tcPr>
          <w:p w14:paraId="6F2935C9"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14.63%</w:t>
            </w:r>
          </w:p>
        </w:tc>
      </w:tr>
      <w:tr w:rsidR="00127526" w14:paraId="6E8EA2C9"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F92F3EC" w14:textId="77777777" w:rsidR="00127526" w:rsidRDefault="00127526" w:rsidP="00127526">
            <w:r>
              <w:t>No</w:t>
            </w:r>
          </w:p>
        </w:tc>
        <w:tc>
          <w:tcPr>
            <w:tcW w:w="1134" w:type="dxa"/>
          </w:tcPr>
          <w:p w14:paraId="63A45B48"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184</w:t>
            </w:r>
          </w:p>
        </w:tc>
        <w:tc>
          <w:tcPr>
            <w:tcW w:w="1134" w:type="dxa"/>
          </w:tcPr>
          <w:p w14:paraId="334EBBFD"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62.59%</w:t>
            </w:r>
          </w:p>
        </w:tc>
      </w:tr>
      <w:tr w:rsidR="00127526" w14:paraId="6F35959C"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107FCF7" w14:textId="77777777" w:rsidR="00127526" w:rsidRDefault="00127526" w:rsidP="00127526">
            <w:r>
              <w:t>Do not know</w:t>
            </w:r>
          </w:p>
        </w:tc>
        <w:tc>
          <w:tcPr>
            <w:tcW w:w="1134" w:type="dxa"/>
          </w:tcPr>
          <w:p w14:paraId="5A808AF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59</w:t>
            </w:r>
          </w:p>
        </w:tc>
        <w:tc>
          <w:tcPr>
            <w:tcW w:w="1134" w:type="dxa"/>
          </w:tcPr>
          <w:p w14:paraId="1060DE1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20.07%</w:t>
            </w:r>
          </w:p>
        </w:tc>
      </w:tr>
      <w:tr w:rsidR="00127526" w14:paraId="2DD4490F"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B97FC6" w14:textId="77777777" w:rsidR="00127526" w:rsidRDefault="00127526" w:rsidP="00127526">
            <w:r>
              <w:t>Not Answered</w:t>
            </w:r>
          </w:p>
        </w:tc>
        <w:tc>
          <w:tcPr>
            <w:tcW w:w="1134" w:type="dxa"/>
          </w:tcPr>
          <w:p w14:paraId="6867C3BE"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8</w:t>
            </w:r>
          </w:p>
        </w:tc>
        <w:tc>
          <w:tcPr>
            <w:tcW w:w="1134" w:type="dxa"/>
          </w:tcPr>
          <w:p w14:paraId="6FCD30C1"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2.72%</w:t>
            </w:r>
          </w:p>
        </w:tc>
      </w:tr>
    </w:tbl>
    <w:p w14:paraId="4403A27C" w14:textId="77777777" w:rsidR="00127526" w:rsidRDefault="00127526" w:rsidP="00127526">
      <w:r>
        <w:br/>
      </w:r>
    </w:p>
    <w:p w14:paraId="5A7D4750" w14:textId="77777777" w:rsidR="00127526" w:rsidRDefault="00127526" w:rsidP="00127526"/>
    <w:p w14:paraId="1325A0DB" w14:textId="77777777" w:rsidR="00127526" w:rsidRDefault="00127526" w:rsidP="00127526">
      <w:pPr>
        <w:pStyle w:val="Heading2"/>
      </w:pPr>
      <w:r>
        <w:lastRenderedPageBreak/>
        <w:t>17: Any other options?</w:t>
      </w:r>
    </w:p>
    <w:p w14:paraId="2598AE67" w14:textId="77777777" w:rsidR="00127526" w:rsidRDefault="00127526" w:rsidP="00127526">
      <w:r>
        <w:br/>
      </w:r>
      <w:r>
        <w:rPr>
          <w:b/>
        </w:rPr>
        <w:t>Comments</w:t>
      </w:r>
    </w:p>
    <w:p w14:paraId="6D676BC6" w14:textId="77777777" w:rsidR="00127526" w:rsidRDefault="00127526" w:rsidP="00127526">
      <w:r>
        <w:t>There were 88 responses to this part of the question.</w:t>
      </w:r>
    </w:p>
    <w:p w14:paraId="339E7A46" w14:textId="77777777" w:rsidR="00127526" w:rsidRDefault="00127526" w:rsidP="00127526"/>
    <w:p w14:paraId="61C5A645" w14:textId="77777777" w:rsidR="00127526" w:rsidRDefault="00127526" w:rsidP="00127526">
      <w:pPr>
        <w:pStyle w:val="Heading2"/>
      </w:pPr>
      <w:r>
        <w:t>18: Please use this space to make any other comments on the CTR scheme.</w:t>
      </w:r>
    </w:p>
    <w:p w14:paraId="768892E9" w14:textId="77777777" w:rsidR="00127526" w:rsidRDefault="00127526" w:rsidP="00127526">
      <w:r>
        <w:br/>
      </w:r>
      <w:r>
        <w:rPr>
          <w:b/>
        </w:rPr>
        <w:t>Comments</w:t>
      </w:r>
    </w:p>
    <w:p w14:paraId="7078D96C" w14:textId="77777777" w:rsidR="00127526" w:rsidRDefault="00127526" w:rsidP="00127526">
      <w:r>
        <w:t>There were 41 responses to this part of the question.</w:t>
      </w:r>
    </w:p>
    <w:p w14:paraId="6739E9E9" w14:textId="77777777" w:rsidR="00127526" w:rsidRDefault="00127526" w:rsidP="00127526"/>
    <w:p w14:paraId="33CF7C37" w14:textId="77777777" w:rsidR="00127526" w:rsidRDefault="00127526" w:rsidP="00127526">
      <w:pPr>
        <w:pStyle w:val="Heading2"/>
      </w:pPr>
      <w:r>
        <w:t>19: Are you, or someone in your household, getting CTR now?</w:t>
      </w:r>
    </w:p>
    <w:p w14:paraId="39DD2B63" w14:textId="77777777" w:rsidR="00127526" w:rsidRDefault="00127526" w:rsidP="00127526">
      <w:r>
        <w:rPr>
          <w:b/>
        </w:rPr>
        <w:t>Getting CTR</w:t>
      </w:r>
    </w:p>
    <w:p w14:paraId="74D653E5" w14:textId="77777777" w:rsidR="00127526" w:rsidRDefault="00127526" w:rsidP="00127526">
      <w:r>
        <w:t>There were 292 responses to this part of the question.</w:t>
      </w:r>
    </w:p>
    <w:p w14:paraId="5D5D7DB6" w14:textId="77777777" w:rsidR="00127526" w:rsidRDefault="00127526" w:rsidP="00127526">
      <w:r>
        <w:rPr>
          <w:noProof/>
        </w:rPr>
        <w:drawing>
          <wp:inline distT="0" distB="0" distL="0" distR="0" wp14:anchorId="13407B2D" wp14:editId="2BC21E94">
            <wp:extent cx="5400000" cy="2448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096897C3"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6ACA354" w14:textId="77777777" w:rsidR="00127526" w:rsidRDefault="00127526" w:rsidP="00127526">
            <w:r>
              <w:t>Option</w:t>
            </w:r>
          </w:p>
        </w:tc>
        <w:tc>
          <w:tcPr>
            <w:tcW w:w="1134" w:type="dxa"/>
          </w:tcPr>
          <w:p w14:paraId="0802C328"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D058FC0"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7168C982"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92D39B" w14:textId="77777777" w:rsidR="00127526" w:rsidRDefault="00127526" w:rsidP="00127526">
            <w:r>
              <w:t>Yes</w:t>
            </w:r>
          </w:p>
        </w:tc>
        <w:tc>
          <w:tcPr>
            <w:tcW w:w="1134" w:type="dxa"/>
          </w:tcPr>
          <w:p w14:paraId="77CCAAE3"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153</w:t>
            </w:r>
          </w:p>
        </w:tc>
        <w:tc>
          <w:tcPr>
            <w:tcW w:w="1134" w:type="dxa"/>
          </w:tcPr>
          <w:p w14:paraId="01C4AE8B"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52.04%</w:t>
            </w:r>
          </w:p>
        </w:tc>
      </w:tr>
      <w:tr w:rsidR="00127526" w14:paraId="185F8B23"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C077737" w14:textId="77777777" w:rsidR="00127526" w:rsidRDefault="00127526" w:rsidP="00127526">
            <w:r>
              <w:t>No</w:t>
            </w:r>
          </w:p>
        </w:tc>
        <w:tc>
          <w:tcPr>
            <w:tcW w:w="1134" w:type="dxa"/>
          </w:tcPr>
          <w:p w14:paraId="2575549F"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98</w:t>
            </w:r>
          </w:p>
        </w:tc>
        <w:tc>
          <w:tcPr>
            <w:tcW w:w="1134" w:type="dxa"/>
          </w:tcPr>
          <w:p w14:paraId="213C10DC"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33.33%</w:t>
            </w:r>
          </w:p>
        </w:tc>
      </w:tr>
      <w:tr w:rsidR="00127526" w14:paraId="109EC29D"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4696E92" w14:textId="77777777" w:rsidR="00127526" w:rsidRDefault="00127526" w:rsidP="00127526">
            <w:r>
              <w:t>Prefer not to say</w:t>
            </w:r>
          </w:p>
        </w:tc>
        <w:tc>
          <w:tcPr>
            <w:tcW w:w="1134" w:type="dxa"/>
          </w:tcPr>
          <w:p w14:paraId="7BC39AFF"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41</w:t>
            </w:r>
          </w:p>
        </w:tc>
        <w:tc>
          <w:tcPr>
            <w:tcW w:w="1134" w:type="dxa"/>
          </w:tcPr>
          <w:p w14:paraId="1A1E1F2D"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13.95%</w:t>
            </w:r>
          </w:p>
        </w:tc>
      </w:tr>
      <w:tr w:rsidR="00127526" w14:paraId="1C219FDB"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9CBC87" w14:textId="77777777" w:rsidR="00127526" w:rsidRDefault="00127526" w:rsidP="00127526">
            <w:r>
              <w:t>Not Answered</w:t>
            </w:r>
          </w:p>
        </w:tc>
        <w:tc>
          <w:tcPr>
            <w:tcW w:w="1134" w:type="dxa"/>
          </w:tcPr>
          <w:p w14:paraId="58F9696C"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w:t>
            </w:r>
          </w:p>
        </w:tc>
        <w:tc>
          <w:tcPr>
            <w:tcW w:w="1134" w:type="dxa"/>
          </w:tcPr>
          <w:p w14:paraId="734E4107"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0.68%</w:t>
            </w:r>
          </w:p>
        </w:tc>
      </w:tr>
    </w:tbl>
    <w:p w14:paraId="50FE6734" w14:textId="77777777" w:rsidR="00127526" w:rsidRDefault="00127526" w:rsidP="00127526">
      <w:r>
        <w:br/>
      </w:r>
    </w:p>
    <w:p w14:paraId="4ACA1D24" w14:textId="77777777" w:rsidR="00127526" w:rsidRDefault="00127526" w:rsidP="00127526"/>
    <w:p w14:paraId="46CCD375" w14:textId="77777777" w:rsidR="00127526" w:rsidRDefault="00127526" w:rsidP="00127526">
      <w:pPr>
        <w:pStyle w:val="Heading2"/>
      </w:pPr>
      <w:r>
        <w:t>20: What is your postcode?</w:t>
      </w:r>
    </w:p>
    <w:p w14:paraId="3AD90021" w14:textId="77777777" w:rsidR="00127526" w:rsidRDefault="00127526" w:rsidP="00127526">
      <w:r>
        <w:br/>
      </w:r>
      <w:r w:rsidR="007E6FFC">
        <w:rPr>
          <w:b/>
        </w:rPr>
        <w:t>Postcode</w:t>
      </w:r>
    </w:p>
    <w:p w14:paraId="31E6B68D" w14:textId="77777777" w:rsidR="00127526" w:rsidRDefault="00127526" w:rsidP="00127526">
      <w:r>
        <w:t>There were 257 responses to this part of the question.</w:t>
      </w:r>
    </w:p>
    <w:p w14:paraId="7AF5FA6A" w14:textId="77777777" w:rsidR="00127526" w:rsidRDefault="00127526" w:rsidP="00127526"/>
    <w:p w14:paraId="4994A161" w14:textId="77777777" w:rsidR="00127526" w:rsidRDefault="00127526" w:rsidP="00127526">
      <w:pPr>
        <w:pStyle w:val="Heading2"/>
      </w:pPr>
      <w:r>
        <w:t>21: Which of the following best describes how you think of yourself?</w:t>
      </w:r>
    </w:p>
    <w:p w14:paraId="65FFDD3A" w14:textId="77777777" w:rsidR="00127526" w:rsidRDefault="00127526" w:rsidP="00127526">
      <w:r>
        <w:rPr>
          <w:b/>
        </w:rPr>
        <w:t>Gender</w:t>
      </w:r>
    </w:p>
    <w:p w14:paraId="23D6F5DB" w14:textId="77777777" w:rsidR="00127526" w:rsidRDefault="00127526" w:rsidP="00127526">
      <w:r>
        <w:t>There were 289 responses to this part of the question.</w:t>
      </w:r>
    </w:p>
    <w:p w14:paraId="08A288BC" w14:textId="77777777" w:rsidR="00127526" w:rsidRDefault="00127526" w:rsidP="00127526">
      <w:r>
        <w:rPr>
          <w:noProof/>
        </w:rPr>
        <w:lastRenderedPageBreak/>
        <w:drawing>
          <wp:inline distT="0" distB="0" distL="0" distR="0" wp14:anchorId="511BD434" wp14:editId="33A8B0D3">
            <wp:extent cx="5400000" cy="2880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1D2FA455"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645449" w14:textId="77777777" w:rsidR="00127526" w:rsidRDefault="00127526" w:rsidP="00127526">
            <w:r>
              <w:t>Option</w:t>
            </w:r>
          </w:p>
        </w:tc>
        <w:tc>
          <w:tcPr>
            <w:tcW w:w="1134" w:type="dxa"/>
          </w:tcPr>
          <w:p w14:paraId="4A025301"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6372913"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1A89F8CF"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7C00FF8" w14:textId="77777777" w:rsidR="00127526" w:rsidRDefault="00127526" w:rsidP="00127526">
            <w:r>
              <w:t>Female</w:t>
            </w:r>
          </w:p>
        </w:tc>
        <w:tc>
          <w:tcPr>
            <w:tcW w:w="1134" w:type="dxa"/>
          </w:tcPr>
          <w:p w14:paraId="2E3174B0"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156</w:t>
            </w:r>
          </w:p>
        </w:tc>
        <w:tc>
          <w:tcPr>
            <w:tcW w:w="1134" w:type="dxa"/>
          </w:tcPr>
          <w:p w14:paraId="3A564460"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53.06%</w:t>
            </w:r>
          </w:p>
        </w:tc>
      </w:tr>
      <w:tr w:rsidR="00127526" w14:paraId="310650F4"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A1AE030" w14:textId="77777777" w:rsidR="00127526" w:rsidRDefault="00127526" w:rsidP="00127526">
            <w:r>
              <w:t>Male</w:t>
            </w:r>
          </w:p>
        </w:tc>
        <w:tc>
          <w:tcPr>
            <w:tcW w:w="1134" w:type="dxa"/>
          </w:tcPr>
          <w:p w14:paraId="341753C0"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97</w:t>
            </w:r>
          </w:p>
        </w:tc>
        <w:tc>
          <w:tcPr>
            <w:tcW w:w="1134" w:type="dxa"/>
          </w:tcPr>
          <w:p w14:paraId="7DF4BD12"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32.99%</w:t>
            </w:r>
          </w:p>
        </w:tc>
      </w:tr>
      <w:tr w:rsidR="00127526" w14:paraId="2501D1E2"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5C6C64" w14:textId="77777777" w:rsidR="00127526" w:rsidRDefault="00127526" w:rsidP="00127526">
            <w:r>
              <w:t>In another way</w:t>
            </w:r>
          </w:p>
        </w:tc>
        <w:tc>
          <w:tcPr>
            <w:tcW w:w="1134" w:type="dxa"/>
          </w:tcPr>
          <w:p w14:paraId="26B72AA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w:t>
            </w:r>
          </w:p>
        </w:tc>
        <w:tc>
          <w:tcPr>
            <w:tcW w:w="1134" w:type="dxa"/>
          </w:tcPr>
          <w:p w14:paraId="5BECC301"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0.68%</w:t>
            </w:r>
          </w:p>
        </w:tc>
      </w:tr>
      <w:tr w:rsidR="00127526" w14:paraId="1E4F30F4"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DDA0BE" w14:textId="77777777" w:rsidR="00127526" w:rsidRDefault="00127526" w:rsidP="00127526">
            <w:r>
              <w:t>Prefer not to say</w:t>
            </w:r>
          </w:p>
        </w:tc>
        <w:tc>
          <w:tcPr>
            <w:tcW w:w="1134" w:type="dxa"/>
          </w:tcPr>
          <w:p w14:paraId="3E6C8A77"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34</w:t>
            </w:r>
          </w:p>
        </w:tc>
        <w:tc>
          <w:tcPr>
            <w:tcW w:w="1134" w:type="dxa"/>
          </w:tcPr>
          <w:p w14:paraId="6508D138"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11.56%</w:t>
            </w:r>
          </w:p>
        </w:tc>
      </w:tr>
      <w:tr w:rsidR="00127526" w14:paraId="1D17407C"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F15D1C9" w14:textId="77777777" w:rsidR="00127526" w:rsidRDefault="00127526" w:rsidP="00127526">
            <w:r>
              <w:t>Not Answered</w:t>
            </w:r>
          </w:p>
        </w:tc>
        <w:tc>
          <w:tcPr>
            <w:tcW w:w="1134" w:type="dxa"/>
          </w:tcPr>
          <w:p w14:paraId="631E015B"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5</w:t>
            </w:r>
          </w:p>
        </w:tc>
        <w:tc>
          <w:tcPr>
            <w:tcW w:w="1134" w:type="dxa"/>
          </w:tcPr>
          <w:p w14:paraId="1126EB22"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1.70%</w:t>
            </w:r>
          </w:p>
        </w:tc>
      </w:tr>
    </w:tbl>
    <w:p w14:paraId="20119351" w14:textId="77777777" w:rsidR="00127526" w:rsidRDefault="00127526" w:rsidP="00127526">
      <w:r>
        <w:br/>
      </w:r>
    </w:p>
    <w:p w14:paraId="5D4D3BBA" w14:textId="77777777" w:rsidR="00127526" w:rsidRDefault="00127526" w:rsidP="00127526"/>
    <w:p w14:paraId="76F93C56" w14:textId="77777777" w:rsidR="00127526" w:rsidRDefault="00127526" w:rsidP="00127526">
      <w:pPr>
        <w:pStyle w:val="Heading2"/>
      </w:pPr>
      <w:r>
        <w:t>22: Which age bracket do you fall into?</w:t>
      </w:r>
    </w:p>
    <w:p w14:paraId="528CB36A" w14:textId="77777777" w:rsidR="00127526" w:rsidRDefault="00127526" w:rsidP="00127526">
      <w:r>
        <w:rPr>
          <w:b/>
        </w:rPr>
        <w:t>Age</w:t>
      </w:r>
    </w:p>
    <w:p w14:paraId="7ACBD33A" w14:textId="77777777" w:rsidR="00127526" w:rsidRDefault="00127526" w:rsidP="00127526">
      <w:r>
        <w:t>There were 291 responses to this part of the question.</w:t>
      </w:r>
    </w:p>
    <w:p w14:paraId="78736395" w14:textId="77777777" w:rsidR="00127526" w:rsidRDefault="00127526" w:rsidP="00127526">
      <w:r>
        <w:rPr>
          <w:noProof/>
        </w:rPr>
        <w:lastRenderedPageBreak/>
        <w:drawing>
          <wp:inline distT="0" distB="0" distL="0" distR="0" wp14:anchorId="699451A3" wp14:editId="7A0CC2E3">
            <wp:extent cx="5400000" cy="5040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78847CBA"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C053B8" w14:textId="77777777" w:rsidR="00127526" w:rsidRDefault="00127526" w:rsidP="00127526">
            <w:r>
              <w:t>Option</w:t>
            </w:r>
          </w:p>
        </w:tc>
        <w:tc>
          <w:tcPr>
            <w:tcW w:w="1134" w:type="dxa"/>
          </w:tcPr>
          <w:p w14:paraId="5658BF24"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5A9A750"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5212AAB8"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B1F584" w14:textId="77777777" w:rsidR="00127526" w:rsidRDefault="00127526" w:rsidP="00127526">
            <w:r>
              <w:t>16-19</w:t>
            </w:r>
          </w:p>
        </w:tc>
        <w:tc>
          <w:tcPr>
            <w:tcW w:w="1134" w:type="dxa"/>
          </w:tcPr>
          <w:p w14:paraId="7F248BD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38167EFE"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0.00%</w:t>
            </w:r>
          </w:p>
        </w:tc>
      </w:tr>
      <w:tr w:rsidR="00127526" w14:paraId="13552ECF"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12C2385" w14:textId="77777777" w:rsidR="00127526" w:rsidRDefault="00127526" w:rsidP="00127526">
            <w:r>
              <w:t>20-24</w:t>
            </w:r>
          </w:p>
        </w:tc>
        <w:tc>
          <w:tcPr>
            <w:tcW w:w="1134" w:type="dxa"/>
          </w:tcPr>
          <w:p w14:paraId="055B7485"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2091C592"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1.02%</w:t>
            </w:r>
          </w:p>
        </w:tc>
      </w:tr>
      <w:tr w:rsidR="00127526" w14:paraId="33585D38"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F17A97" w14:textId="77777777" w:rsidR="00127526" w:rsidRDefault="00127526" w:rsidP="00127526">
            <w:r>
              <w:t>25-34</w:t>
            </w:r>
          </w:p>
        </w:tc>
        <w:tc>
          <w:tcPr>
            <w:tcW w:w="1134" w:type="dxa"/>
          </w:tcPr>
          <w:p w14:paraId="5BF8BFF5"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49</w:t>
            </w:r>
          </w:p>
        </w:tc>
        <w:tc>
          <w:tcPr>
            <w:tcW w:w="1134" w:type="dxa"/>
          </w:tcPr>
          <w:p w14:paraId="70E8F052"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16.67%</w:t>
            </w:r>
          </w:p>
        </w:tc>
      </w:tr>
      <w:tr w:rsidR="00127526" w14:paraId="456E5B93"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FFD08AE" w14:textId="77777777" w:rsidR="00127526" w:rsidRDefault="00127526" w:rsidP="00127526">
            <w:r>
              <w:t>35-44</w:t>
            </w:r>
          </w:p>
        </w:tc>
        <w:tc>
          <w:tcPr>
            <w:tcW w:w="1134" w:type="dxa"/>
          </w:tcPr>
          <w:p w14:paraId="0942E52A"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76</w:t>
            </w:r>
          </w:p>
        </w:tc>
        <w:tc>
          <w:tcPr>
            <w:tcW w:w="1134" w:type="dxa"/>
          </w:tcPr>
          <w:p w14:paraId="665E2996"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25.85%</w:t>
            </w:r>
          </w:p>
        </w:tc>
      </w:tr>
      <w:tr w:rsidR="00127526" w14:paraId="4AA2C7B9"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BBE873" w14:textId="77777777" w:rsidR="00127526" w:rsidRDefault="00127526" w:rsidP="00127526">
            <w:r>
              <w:t>45-54</w:t>
            </w:r>
          </w:p>
        </w:tc>
        <w:tc>
          <w:tcPr>
            <w:tcW w:w="1134" w:type="dxa"/>
          </w:tcPr>
          <w:p w14:paraId="04D159A6"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48</w:t>
            </w:r>
          </w:p>
        </w:tc>
        <w:tc>
          <w:tcPr>
            <w:tcW w:w="1134" w:type="dxa"/>
          </w:tcPr>
          <w:p w14:paraId="6E68EEE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16.33%</w:t>
            </w:r>
          </w:p>
        </w:tc>
      </w:tr>
      <w:tr w:rsidR="00127526" w14:paraId="501FC47D"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D4E4F0" w14:textId="77777777" w:rsidR="00127526" w:rsidRDefault="00127526" w:rsidP="00127526">
            <w:r>
              <w:t>55-59</w:t>
            </w:r>
          </w:p>
        </w:tc>
        <w:tc>
          <w:tcPr>
            <w:tcW w:w="1134" w:type="dxa"/>
          </w:tcPr>
          <w:p w14:paraId="3F5FB822"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30</w:t>
            </w:r>
          </w:p>
        </w:tc>
        <w:tc>
          <w:tcPr>
            <w:tcW w:w="1134" w:type="dxa"/>
          </w:tcPr>
          <w:p w14:paraId="5627CE3C"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10.20%</w:t>
            </w:r>
          </w:p>
        </w:tc>
      </w:tr>
      <w:tr w:rsidR="00127526" w14:paraId="7C93FD0E"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DC1D071" w14:textId="77777777" w:rsidR="00127526" w:rsidRDefault="00127526" w:rsidP="00127526">
            <w:r>
              <w:t>60-64</w:t>
            </w:r>
          </w:p>
        </w:tc>
        <w:tc>
          <w:tcPr>
            <w:tcW w:w="1134" w:type="dxa"/>
          </w:tcPr>
          <w:p w14:paraId="3F666182"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27</w:t>
            </w:r>
          </w:p>
        </w:tc>
        <w:tc>
          <w:tcPr>
            <w:tcW w:w="1134" w:type="dxa"/>
          </w:tcPr>
          <w:p w14:paraId="55B785C7"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9.18%</w:t>
            </w:r>
          </w:p>
        </w:tc>
      </w:tr>
      <w:tr w:rsidR="00127526" w14:paraId="2CE437FB"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45FF327" w14:textId="77777777" w:rsidR="00127526" w:rsidRDefault="00127526" w:rsidP="00127526">
            <w:r>
              <w:t>65-74</w:t>
            </w:r>
          </w:p>
        </w:tc>
        <w:tc>
          <w:tcPr>
            <w:tcW w:w="1134" w:type="dxa"/>
          </w:tcPr>
          <w:p w14:paraId="7FFFFCC0"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23</w:t>
            </w:r>
          </w:p>
        </w:tc>
        <w:tc>
          <w:tcPr>
            <w:tcW w:w="1134" w:type="dxa"/>
          </w:tcPr>
          <w:p w14:paraId="1A904CEF"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7.82%</w:t>
            </w:r>
          </w:p>
        </w:tc>
      </w:tr>
      <w:tr w:rsidR="00127526" w14:paraId="263B812A"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4452C7" w14:textId="77777777" w:rsidR="00127526" w:rsidRDefault="00127526" w:rsidP="00127526">
            <w:r>
              <w:t>75+</w:t>
            </w:r>
          </w:p>
        </w:tc>
        <w:tc>
          <w:tcPr>
            <w:tcW w:w="1134" w:type="dxa"/>
          </w:tcPr>
          <w:p w14:paraId="3A2877C8"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13</w:t>
            </w:r>
          </w:p>
        </w:tc>
        <w:tc>
          <w:tcPr>
            <w:tcW w:w="1134" w:type="dxa"/>
          </w:tcPr>
          <w:p w14:paraId="3D88052E"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4.42%</w:t>
            </w:r>
          </w:p>
        </w:tc>
      </w:tr>
      <w:tr w:rsidR="00127526" w14:paraId="4534B4F7"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3D6FEB9" w14:textId="77777777" w:rsidR="00127526" w:rsidRDefault="00127526" w:rsidP="00127526">
            <w:r>
              <w:t>Prefer not to say</w:t>
            </w:r>
          </w:p>
        </w:tc>
        <w:tc>
          <w:tcPr>
            <w:tcW w:w="1134" w:type="dxa"/>
          </w:tcPr>
          <w:p w14:paraId="79F6F092"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22</w:t>
            </w:r>
          </w:p>
        </w:tc>
        <w:tc>
          <w:tcPr>
            <w:tcW w:w="1134" w:type="dxa"/>
          </w:tcPr>
          <w:p w14:paraId="11780A6D"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7.48%</w:t>
            </w:r>
          </w:p>
        </w:tc>
      </w:tr>
      <w:tr w:rsidR="00127526" w14:paraId="6FF7AAEA"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0F3882" w14:textId="77777777" w:rsidR="00127526" w:rsidRDefault="00127526" w:rsidP="00127526">
            <w:r>
              <w:t>Not Answered</w:t>
            </w:r>
          </w:p>
        </w:tc>
        <w:tc>
          <w:tcPr>
            <w:tcW w:w="1134" w:type="dxa"/>
          </w:tcPr>
          <w:p w14:paraId="6CF77F5B"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3</w:t>
            </w:r>
          </w:p>
        </w:tc>
        <w:tc>
          <w:tcPr>
            <w:tcW w:w="1134" w:type="dxa"/>
          </w:tcPr>
          <w:p w14:paraId="6DDDC5B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1.02%</w:t>
            </w:r>
          </w:p>
        </w:tc>
      </w:tr>
    </w:tbl>
    <w:p w14:paraId="0B64C953" w14:textId="77777777" w:rsidR="00127526" w:rsidRDefault="00127526" w:rsidP="00127526">
      <w:r>
        <w:br/>
      </w:r>
    </w:p>
    <w:p w14:paraId="348C2170" w14:textId="77777777" w:rsidR="00127526" w:rsidRDefault="00127526" w:rsidP="00127526"/>
    <w:p w14:paraId="7EEB8692" w14:textId="77777777" w:rsidR="00127526" w:rsidRDefault="00127526" w:rsidP="00127526">
      <w:pPr>
        <w:pStyle w:val="Heading2"/>
      </w:pPr>
      <w:r>
        <w:t>23: Which of the following best describes your ethnic group?</w:t>
      </w:r>
    </w:p>
    <w:p w14:paraId="2C969AC8" w14:textId="77777777" w:rsidR="00127526" w:rsidRDefault="00127526" w:rsidP="00127526">
      <w:r>
        <w:rPr>
          <w:b/>
        </w:rPr>
        <w:t>Ethnicity</w:t>
      </w:r>
    </w:p>
    <w:p w14:paraId="28BCBB5B" w14:textId="77777777" w:rsidR="00127526" w:rsidRDefault="00127526" w:rsidP="00127526">
      <w:r>
        <w:t>There were 291 responses to this part of the question.</w:t>
      </w:r>
    </w:p>
    <w:p w14:paraId="6B6C5D96" w14:textId="77777777" w:rsidR="00127526" w:rsidRDefault="00127526" w:rsidP="00127526">
      <w:r>
        <w:rPr>
          <w:noProof/>
        </w:rPr>
        <w:lastRenderedPageBreak/>
        <w:drawing>
          <wp:inline distT="0" distB="0" distL="0" distR="0" wp14:anchorId="569D7526" wp14:editId="71A42837">
            <wp:extent cx="5400000" cy="4320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6F47AA08"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4F20EE" w14:textId="77777777" w:rsidR="00127526" w:rsidRDefault="00127526" w:rsidP="00127526">
            <w:r>
              <w:t>Option</w:t>
            </w:r>
          </w:p>
        </w:tc>
        <w:tc>
          <w:tcPr>
            <w:tcW w:w="1134" w:type="dxa"/>
          </w:tcPr>
          <w:p w14:paraId="71AF116A"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43C103C"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0CCE7F5D" w14:textId="77777777" w:rsidTr="001275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2B52E5C0" w14:textId="77777777" w:rsidR="00127526" w:rsidRDefault="00127526" w:rsidP="00127526">
            <w:r>
              <w:t>White British - English, Welsh, Scottish, Northern Irish</w:t>
            </w:r>
          </w:p>
        </w:tc>
        <w:tc>
          <w:tcPr>
            <w:tcW w:w="1134" w:type="dxa"/>
          </w:tcPr>
          <w:p w14:paraId="2644BF82"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165</w:t>
            </w:r>
          </w:p>
        </w:tc>
        <w:tc>
          <w:tcPr>
            <w:tcW w:w="1134" w:type="dxa"/>
          </w:tcPr>
          <w:p w14:paraId="3673A004"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56.12%</w:t>
            </w:r>
          </w:p>
        </w:tc>
      </w:tr>
      <w:tr w:rsidR="00127526" w14:paraId="65FDF3C6"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F8D851" w14:textId="77777777" w:rsidR="00127526" w:rsidRDefault="00127526" w:rsidP="00127526">
            <w:r>
              <w:t>White Irish</w:t>
            </w:r>
          </w:p>
        </w:tc>
        <w:tc>
          <w:tcPr>
            <w:tcW w:w="1134" w:type="dxa"/>
          </w:tcPr>
          <w:p w14:paraId="2D8F8AD8"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5</w:t>
            </w:r>
          </w:p>
        </w:tc>
        <w:tc>
          <w:tcPr>
            <w:tcW w:w="1134" w:type="dxa"/>
          </w:tcPr>
          <w:p w14:paraId="76CE5E20"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1.70%</w:t>
            </w:r>
          </w:p>
        </w:tc>
      </w:tr>
      <w:tr w:rsidR="00127526" w14:paraId="45153893"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7DE066" w14:textId="77777777" w:rsidR="00127526" w:rsidRDefault="00127526" w:rsidP="00127526">
            <w:r>
              <w:t xml:space="preserve">White Gypsy or Irish </w:t>
            </w:r>
            <w:r w:rsidR="007E6FFC">
              <w:t>Traveler</w:t>
            </w:r>
          </w:p>
        </w:tc>
        <w:tc>
          <w:tcPr>
            <w:tcW w:w="1134" w:type="dxa"/>
          </w:tcPr>
          <w:p w14:paraId="2A16915B"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3ED323E7"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0.00%</w:t>
            </w:r>
          </w:p>
        </w:tc>
      </w:tr>
      <w:tr w:rsidR="00127526" w14:paraId="59FDBE6B"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282935" w14:textId="77777777" w:rsidR="00127526" w:rsidRDefault="00127526" w:rsidP="00127526">
            <w:r>
              <w:t>Any other white background</w:t>
            </w:r>
          </w:p>
        </w:tc>
        <w:tc>
          <w:tcPr>
            <w:tcW w:w="1134" w:type="dxa"/>
          </w:tcPr>
          <w:p w14:paraId="51C1ACDF"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33</w:t>
            </w:r>
          </w:p>
        </w:tc>
        <w:tc>
          <w:tcPr>
            <w:tcW w:w="1134" w:type="dxa"/>
          </w:tcPr>
          <w:p w14:paraId="0E11BFF4"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11.22%</w:t>
            </w:r>
          </w:p>
        </w:tc>
      </w:tr>
      <w:tr w:rsidR="00127526" w14:paraId="76CC7405"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7EF359" w14:textId="77777777" w:rsidR="00127526" w:rsidRDefault="00127526" w:rsidP="00127526">
            <w:r>
              <w:t xml:space="preserve">Black or Black British - </w:t>
            </w:r>
            <w:r w:rsidR="007E6FFC">
              <w:t>Caribbean</w:t>
            </w:r>
          </w:p>
        </w:tc>
        <w:tc>
          <w:tcPr>
            <w:tcW w:w="1134" w:type="dxa"/>
          </w:tcPr>
          <w:p w14:paraId="7F4A8D6C"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w:t>
            </w:r>
          </w:p>
        </w:tc>
        <w:tc>
          <w:tcPr>
            <w:tcW w:w="1134" w:type="dxa"/>
          </w:tcPr>
          <w:p w14:paraId="6A205E3F"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1.36%</w:t>
            </w:r>
          </w:p>
        </w:tc>
      </w:tr>
      <w:tr w:rsidR="00127526" w14:paraId="43090491"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8BDB8E" w14:textId="77777777" w:rsidR="00127526" w:rsidRDefault="00127526" w:rsidP="00127526">
            <w:r>
              <w:t>Black or Black British - African</w:t>
            </w:r>
          </w:p>
        </w:tc>
        <w:tc>
          <w:tcPr>
            <w:tcW w:w="1134" w:type="dxa"/>
          </w:tcPr>
          <w:p w14:paraId="3C729441"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4</w:t>
            </w:r>
          </w:p>
        </w:tc>
        <w:tc>
          <w:tcPr>
            <w:tcW w:w="1134" w:type="dxa"/>
          </w:tcPr>
          <w:p w14:paraId="12AE47E6"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1.36%</w:t>
            </w:r>
          </w:p>
        </w:tc>
      </w:tr>
      <w:tr w:rsidR="00127526" w14:paraId="008598D2"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01097D" w14:textId="77777777" w:rsidR="00127526" w:rsidRDefault="00127526" w:rsidP="00127526">
            <w:r>
              <w:t>Any other black background</w:t>
            </w:r>
          </w:p>
        </w:tc>
        <w:tc>
          <w:tcPr>
            <w:tcW w:w="1134" w:type="dxa"/>
          </w:tcPr>
          <w:p w14:paraId="5ED5DFF1"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4DFD1118"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0.00%</w:t>
            </w:r>
          </w:p>
        </w:tc>
      </w:tr>
      <w:tr w:rsidR="00127526" w14:paraId="1F2BA06C"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0444E43" w14:textId="77777777" w:rsidR="00127526" w:rsidRDefault="00127526" w:rsidP="00127526">
            <w:r>
              <w:t>Asian or Asian British - Indian</w:t>
            </w:r>
          </w:p>
        </w:tc>
        <w:tc>
          <w:tcPr>
            <w:tcW w:w="1134" w:type="dxa"/>
          </w:tcPr>
          <w:p w14:paraId="777B2CFD"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4B79EAA5"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1.02%</w:t>
            </w:r>
          </w:p>
        </w:tc>
      </w:tr>
      <w:tr w:rsidR="00127526" w14:paraId="26648561"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7B618F6" w14:textId="77777777" w:rsidR="00127526" w:rsidRDefault="00127526" w:rsidP="00127526">
            <w:r>
              <w:t>Asian or Asian British - Pakistani</w:t>
            </w:r>
          </w:p>
        </w:tc>
        <w:tc>
          <w:tcPr>
            <w:tcW w:w="1134" w:type="dxa"/>
          </w:tcPr>
          <w:p w14:paraId="4FE88B61"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7</w:t>
            </w:r>
          </w:p>
        </w:tc>
        <w:tc>
          <w:tcPr>
            <w:tcW w:w="1134" w:type="dxa"/>
          </w:tcPr>
          <w:p w14:paraId="2737E54D"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2.38%</w:t>
            </w:r>
          </w:p>
        </w:tc>
      </w:tr>
      <w:tr w:rsidR="00127526" w14:paraId="1CE70E5F"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5D9BDF" w14:textId="77777777" w:rsidR="00127526" w:rsidRDefault="00127526" w:rsidP="00127526">
            <w:r>
              <w:t>Asian or Asian British - Bangladeshi</w:t>
            </w:r>
          </w:p>
        </w:tc>
        <w:tc>
          <w:tcPr>
            <w:tcW w:w="1134" w:type="dxa"/>
          </w:tcPr>
          <w:p w14:paraId="1731BEB6"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6A6E19F7"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1.02%</w:t>
            </w:r>
          </w:p>
        </w:tc>
      </w:tr>
      <w:tr w:rsidR="00127526" w14:paraId="0AD133CB"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71F0CBB" w14:textId="77777777" w:rsidR="00127526" w:rsidRDefault="00127526" w:rsidP="00127526">
            <w:r>
              <w:t>Any other Asian background</w:t>
            </w:r>
          </w:p>
        </w:tc>
        <w:tc>
          <w:tcPr>
            <w:tcW w:w="1134" w:type="dxa"/>
          </w:tcPr>
          <w:p w14:paraId="2D3840F2"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10</w:t>
            </w:r>
          </w:p>
        </w:tc>
        <w:tc>
          <w:tcPr>
            <w:tcW w:w="1134" w:type="dxa"/>
          </w:tcPr>
          <w:p w14:paraId="622043AD"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3.40%</w:t>
            </w:r>
          </w:p>
        </w:tc>
      </w:tr>
      <w:tr w:rsidR="00127526" w14:paraId="4957893D" w14:textId="77777777" w:rsidTr="0012752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16BCB476" w14:textId="77777777" w:rsidR="00127526" w:rsidRDefault="00127526" w:rsidP="00127526">
            <w:r>
              <w:t>Mixed or Multiple Ethnic Group - White and Black Caribbean</w:t>
            </w:r>
          </w:p>
        </w:tc>
        <w:tc>
          <w:tcPr>
            <w:tcW w:w="1134" w:type="dxa"/>
          </w:tcPr>
          <w:p w14:paraId="6063D1CE"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7074BBDA"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1.02%</w:t>
            </w:r>
          </w:p>
        </w:tc>
      </w:tr>
      <w:tr w:rsidR="00127526" w14:paraId="68705EE0" w14:textId="77777777" w:rsidTr="001275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3E38CA7E" w14:textId="77777777" w:rsidR="00127526" w:rsidRDefault="00127526" w:rsidP="00127526">
            <w:r>
              <w:t>Mixed or Multiple Ethnic Group - White and Black African</w:t>
            </w:r>
          </w:p>
        </w:tc>
        <w:tc>
          <w:tcPr>
            <w:tcW w:w="1134" w:type="dxa"/>
          </w:tcPr>
          <w:p w14:paraId="23BD1BBE"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28DE04F1"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0.00%</w:t>
            </w:r>
          </w:p>
        </w:tc>
      </w:tr>
      <w:tr w:rsidR="00127526" w14:paraId="4AE4B8CA"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9F4A299" w14:textId="77777777" w:rsidR="00127526" w:rsidRDefault="00127526" w:rsidP="00127526">
            <w:r>
              <w:t>Mixed or Multiple Ethnic Group - White and Asian</w:t>
            </w:r>
          </w:p>
        </w:tc>
        <w:tc>
          <w:tcPr>
            <w:tcW w:w="1134" w:type="dxa"/>
          </w:tcPr>
          <w:p w14:paraId="790E9EA5"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40E922B1"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0.34%</w:t>
            </w:r>
          </w:p>
        </w:tc>
      </w:tr>
      <w:tr w:rsidR="00127526" w14:paraId="0B259D73"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3920B14" w14:textId="77777777" w:rsidR="00127526" w:rsidRDefault="00127526" w:rsidP="00127526">
            <w:r>
              <w:t>Any other Mixed background</w:t>
            </w:r>
          </w:p>
        </w:tc>
        <w:tc>
          <w:tcPr>
            <w:tcW w:w="1134" w:type="dxa"/>
          </w:tcPr>
          <w:p w14:paraId="54BFD51B"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3</w:t>
            </w:r>
          </w:p>
        </w:tc>
        <w:tc>
          <w:tcPr>
            <w:tcW w:w="1134" w:type="dxa"/>
          </w:tcPr>
          <w:p w14:paraId="5E5F5AA7"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1.02%</w:t>
            </w:r>
          </w:p>
        </w:tc>
      </w:tr>
      <w:tr w:rsidR="00127526" w14:paraId="60EE0CB4"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D160404" w14:textId="77777777" w:rsidR="00127526" w:rsidRDefault="00127526" w:rsidP="00127526">
            <w:r>
              <w:t>Arab</w:t>
            </w:r>
          </w:p>
        </w:tc>
        <w:tc>
          <w:tcPr>
            <w:tcW w:w="1134" w:type="dxa"/>
          </w:tcPr>
          <w:p w14:paraId="10A4F2FC"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230A65BF"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1.02%</w:t>
            </w:r>
          </w:p>
        </w:tc>
      </w:tr>
      <w:tr w:rsidR="00127526" w14:paraId="3676A6AA"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6A37B3" w14:textId="77777777" w:rsidR="00127526" w:rsidRDefault="00127526" w:rsidP="00127526">
            <w:r>
              <w:t>Chinese</w:t>
            </w:r>
          </w:p>
        </w:tc>
        <w:tc>
          <w:tcPr>
            <w:tcW w:w="1134" w:type="dxa"/>
          </w:tcPr>
          <w:p w14:paraId="30E78D7E"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3E2BEED8"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0.00%</w:t>
            </w:r>
          </w:p>
        </w:tc>
      </w:tr>
      <w:tr w:rsidR="00127526" w14:paraId="0CA4A206"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E4AB91" w14:textId="77777777" w:rsidR="00127526" w:rsidRDefault="00127526" w:rsidP="00127526">
            <w:r>
              <w:t>Other Ethnic Group</w:t>
            </w:r>
          </w:p>
        </w:tc>
        <w:tc>
          <w:tcPr>
            <w:tcW w:w="1134" w:type="dxa"/>
          </w:tcPr>
          <w:p w14:paraId="5F968B0D"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7</w:t>
            </w:r>
          </w:p>
        </w:tc>
        <w:tc>
          <w:tcPr>
            <w:tcW w:w="1134" w:type="dxa"/>
          </w:tcPr>
          <w:p w14:paraId="2D616677"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2.38%</w:t>
            </w:r>
          </w:p>
        </w:tc>
      </w:tr>
      <w:tr w:rsidR="00127526" w14:paraId="3D553430"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E87BE6" w14:textId="77777777" w:rsidR="00127526" w:rsidRDefault="00127526" w:rsidP="00127526">
            <w:r>
              <w:t>Prefer not to say</w:t>
            </w:r>
          </w:p>
        </w:tc>
        <w:tc>
          <w:tcPr>
            <w:tcW w:w="1134" w:type="dxa"/>
          </w:tcPr>
          <w:p w14:paraId="4BE5F77A"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40</w:t>
            </w:r>
          </w:p>
        </w:tc>
        <w:tc>
          <w:tcPr>
            <w:tcW w:w="1134" w:type="dxa"/>
          </w:tcPr>
          <w:p w14:paraId="5053E3C1"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13.61%</w:t>
            </w:r>
          </w:p>
        </w:tc>
      </w:tr>
      <w:tr w:rsidR="00127526" w14:paraId="6F6ECFBA"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8BFDD73" w14:textId="77777777" w:rsidR="00127526" w:rsidRDefault="00127526" w:rsidP="00127526">
            <w:r>
              <w:lastRenderedPageBreak/>
              <w:t>Not Answered</w:t>
            </w:r>
          </w:p>
        </w:tc>
        <w:tc>
          <w:tcPr>
            <w:tcW w:w="1134" w:type="dxa"/>
          </w:tcPr>
          <w:p w14:paraId="439F273F"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4BB164A4"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1.02%</w:t>
            </w:r>
          </w:p>
        </w:tc>
      </w:tr>
    </w:tbl>
    <w:p w14:paraId="0923FED8" w14:textId="77777777" w:rsidR="00127526" w:rsidRDefault="00127526" w:rsidP="00127526">
      <w:r>
        <w:br/>
      </w:r>
    </w:p>
    <w:p w14:paraId="44F46A14" w14:textId="77777777" w:rsidR="00127526" w:rsidRDefault="00127526" w:rsidP="00127526"/>
    <w:p w14:paraId="6F965149" w14:textId="77777777" w:rsidR="00127526" w:rsidRDefault="00127526" w:rsidP="00127526">
      <w:pPr>
        <w:pStyle w:val="Heading2"/>
      </w:pPr>
      <w:r>
        <w:t>24: Are your day to day activities limited because of a health problem or disability which has lasted, or is expected to last, at least 12 months?</w:t>
      </w:r>
    </w:p>
    <w:p w14:paraId="74B95D6B" w14:textId="77777777" w:rsidR="00127526" w:rsidRDefault="00127526" w:rsidP="00127526">
      <w:r>
        <w:rPr>
          <w:b/>
        </w:rPr>
        <w:t>Disability</w:t>
      </w:r>
    </w:p>
    <w:p w14:paraId="0641D47A" w14:textId="77777777" w:rsidR="00127526" w:rsidRDefault="00127526" w:rsidP="00127526">
      <w:r>
        <w:t>There were 292 responses to this part of the question.</w:t>
      </w:r>
    </w:p>
    <w:p w14:paraId="2680F083" w14:textId="77777777" w:rsidR="00127526" w:rsidRDefault="00127526" w:rsidP="00127526">
      <w:r>
        <w:rPr>
          <w:noProof/>
        </w:rPr>
        <w:drawing>
          <wp:inline distT="0" distB="0" distL="0" distR="0" wp14:anchorId="41A7B806" wp14:editId="5A4B8356">
            <wp:extent cx="5400000" cy="2880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127526" w14:paraId="2DE498F9" w14:textId="77777777" w:rsidTr="0012752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B97A12A" w14:textId="77777777" w:rsidR="00127526" w:rsidRDefault="00127526" w:rsidP="00127526">
            <w:r>
              <w:t>Option</w:t>
            </w:r>
          </w:p>
        </w:tc>
        <w:tc>
          <w:tcPr>
            <w:tcW w:w="1134" w:type="dxa"/>
          </w:tcPr>
          <w:p w14:paraId="430E9E5A"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22DDB139" w14:textId="77777777" w:rsidR="00127526" w:rsidRDefault="00127526" w:rsidP="00127526">
            <w:pPr>
              <w:cnfStyle w:val="100000000000" w:firstRow="1" w:lastRow="0" w:firstColumn="0" w:lastColumn="0" w:oddVBand="0" w:evenVBand="0" w:oddHBand="0" w:evenHBand="0" w:firstRowFirstColumn="0" w:firstRowLastColumn="0" w:lastRowFirstColumn="0" w:lastRowLastColumn="0"/>
            </w:pPr>
            <w:r>
              <w:t>Percent</w:t>
            </w:r>
          </w:p>
        </w:tc>
      </w:tr>
      <w:tr w:rsidR="00127526" w14:paraId="34E4A4F7"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CD43F3" w14:textId="77777777" w:rsidR="00127526" w:rsidRDefault="00127526" w:rsidP="00127526">
            <w:r>
              <w:t>Yes, limited a lot</w:t>
            </w:r>
          </w:p>
        </w:tc>
        <w:tc>
          <w:tcPr>
            <w:tcW w:w="1134" w:type="dxa"/>
          </w:tcPr>
          <w:p w14:paraId="1EB4A3A9"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82</w:t>
            </w:r>
          </w:p>
        </w:tc>
        <w:tc>
          <w:tcPr>
            <w:tcW w:w="1134" w:type="dxa"/>
          </w:tcPr>
          <w:p w14:paraId="12F750D5"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27.89%</w:t>
            </w:r>
          </w:p>
        </w:tc>
      </w:tr>
      <w:tr w:rsidR="00127526" w14:paraId="37521FC9"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996A4D" w14:textId="77777777" w:rsidR="00127526" w:rsidRDefault="00127526" w:rsidP="00127526">
            <w:r>
              <w:t>Yes, limited a little</w:t>
            </w:r>
          </w:p>
        </w:tc>
        <w:tc>
          <w:tcPr>
            <w:tcW w:w="1134" w:type="dxa"/>
          </w:tcPr>
          <w:p w14:paraId="128FEC42"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39</w:t>
            </w:r>
          </w:p>
        </w:tc>
        <w:tc>
          <w:tcPr>
            <w:tcW w:w="1134" w:type="dxa"/>
          </w:tcPr>
          <w:p w14:paraId="3667631D"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13.27%</w:t>
            </w:r>
          </w:p>
        </w:tc>
      </w:tr>
      <w:tr w:rsidR="00127526" w14:paraId="64A206D7"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49A2A19" w14:textId="77777777" w:rsidR="00127526" w:rsidRDefault="00127526" w:rsidP="00127526">
            <w:r>
              <w:t>No</w:t>
            </w:r>
          </w:p>
        </w:tc>
        <w:tc>
          <w:tcPr>
            <w:tcW w:w="1134" w:type="dxa"/>
          </w:tcPr>
          <w:p w14:paraId="094DF73F"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137</w:t>
            </w:r>
          </w:p>
        </w:tc>
        <w:tc>
          <w:tcPr>
            <w:tcW w:w="1134" w:type="dxa"/>
          </w:tcPr>
          <w:p w14:paraId="0F12F086"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46.60%</w:t>
            </w:r>
          </w:p>
        </w:tc>
      </w:tr>
      <w:tr w:rsidR="00127526" w14:paraId="5F8CE3AD" w14:textId="77777777" w:rsidTr="0012752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ED4EDB" w14:textId="77777777" w:rsidR="00127526" w:rsidRDefault="00127526" w:rsidP="00127526">
            <w:r>
              <w:t>Prefer not to say</w:t>
            </w:r>
          </w:p>
        </w:tc>
        <w:tc>
          <w:tcPr>
            <w:tcW w:w="1134" w:type="dxa"/>
          </w:tcPr>
          <w:p w14:paraId="48F6FEDA"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34</w:t>
            </w:r>
          </w:p>
        </w:tc>
        <w:tc>
          <w:tcPr>
            <w:tcW w:w="1134" w:type="dxa"/>
          </w:tcPr>
          <w:p w14:paraId="469BBC20" w14:textId="77777777" w:rsidR="00127526" w:rsidRDefault="00127526" w:rsidP="00127526">
            <w:pPr>
              <w:cnfStyle w:val="000000010000" w:firstRow="0" w:lastRow="0" w:firstColumn="0" w:lastColumn="0" w:oddVBand="0" w:evenVBand="0" w:oddHBand="0" w:evenHBand="1" w:firstRowFirstColumn="0" w:firstRowLastColumn="0" w:lastRowFirstColumn="0" w:lastRowLastColumn="0"/>
            </w:pPr>
            <w:r>
              <w:t>11.56%</w:t>
            </w:r>
          </w:p>
        </w:tc>
      </w:tr>
      <w:tr w:rsidR="00127526" w14:paraId="265185F5" w14:textId="77777777" w:rsidTr="001275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B074BB3" w14:textId="77777777" w:rsidR="00127526" w:rsidRDefault="00127526" w:rsidP="00127526">
            <w:r>
              <w:t>Not Answered</w:t>
            </w:r>
          </w:p>
        </w:tc>
        <w:tc>
          <w:tcPr>
            <w:tcW w:w="1134" w:type="dxa"/>
          </w:tcPr>
          <w:p w14:paraId="21EFE26D"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2</w:t>
            </w:r>
          </w:p>
        </w:tc>
        <w:tc>
          <w:tcPr>
            <w:tcW w:w="1134" w:type="dxa"/>
          </w:tcPr>
          <w:p w14:paraId="0ACE459E" w14:textId="77777777" w:rsidR="00127526" w:rsidRDefault="00127526" w:rsidP="00127526">
            <w:pPr>
              <w:cnfStyle w:val="000000100000" w:firstRow="0" w:lastRow="0" w:firstColumn="0" w:lastColumn="0" w:oddVBand="0" w:evenVBand="0" w:oddHBand="1" w:evenHBand="0" w:firstRowFirstColumn="0" w:firstRowLastColumn="0" w:lastRowFirstColumn="0" w:lastRowLastColumn="0"/>
            </w:pPr>
            <w:r>
              <w:t>0.68%</w:t>
            </w:r>
          </w:p>
        </w:tc>
      </w:tr>
    </w:tbl>
    <w:p w14:paraId="208CCD64" w14:textId="77777777" w:rsidR="00127526" w:rsidRDefault="00127526" w:rsidP="00FC53FB">
      <w:pPr>
        <w:ind w:left="12240"/>
      </w:pPr>
    </w:p>
    <w:p w14:paraId="54B03072" w14:textId="77777777" w:rsidR="00127526" w:rsidRDefault="00127526" w:rsidP="00FC53FB">
      <w:pPr>
        <w:ind w:left="12240"/>
      </w:pPr>
    </w:p>
    <w:p w14:paraId="063F6B52" w14:textId="77777777" w:rsidR="00127526" w:rsidRDefault="00127526" w:rsidP="00FC53FB">
      <w:pPr>
        <w:ind w:left="12240"/>
      </w:pPr>
    </w:p>
    <w:p w14:paraId="4A04DD77" w14:textId="77777777" w:rsidR="00127526" w:rsidRDefault="00127526" w:rsidP="00FC53FB">
      <w:pPr>
        <w:ind w:left="12240"/>
      </w:pPr>
    </w:p>
    <w:p w14:paraId="37B0EC4E" w14:textId="77777777" w:rsidR="00127526" w:rsidRDefault="00127526" w:rsidP="00FC53FB">
      <w:pPr>
        <w:ind w:left="12240"/>
      </w:pPr>
    </w:p>
    <w:p w14:paraId="19665085" w14:textId="77777777" w:rsidR="00127526" w:rsidRDefault="00127526" w:rsidP="00FC53FB">
      <w:pPr>
        <w:ind w:left="12240"/>
      </w:pPr>
    </w:p>
    <w:p w14:paraId="052BAC2D" w14:textId="77777777" w:rsidR="00127526" w:rsidRDefault="00127526" w:rsidP="00FC53FB">
      <w:pPr>
        <w:ind w:left="12240"/>
      </w:pPr>
    </w:p>
    <w:p w14:paraId="7778F41D" w14:textId="77777777" w:rsidR="00127526" w:rsidRDefault="00127526" w:rsidP="00FC53FB">
      <w:pPr>
        <w:ind w:left="12240"/>
      </w:pPr>
    </w:p>
    <w:p w14:paraId="29E3CD82" w14:textId="2CF3DD96" w:rsidR="00D53FD5" w:rsidRDefault="00FC53FB" w:rsidP="00224349">
      <w:pPr>
        <w:ind w:left="12240"/>
        <w:sectPr w:rsidR="00D53FD5" w:rsidSect="00D53FD5">
          <w:footerReference w:type="even" r:id="rId24"/>
          <w:headerReference w:type="first" r:id="rId25"/>
          <w:footerReference w:type="first" r:id="rId26"/>
          <w:pgSz w:w="11906" w:h="16838" w:code="9"/>
          <w:pgMar w:top="1418" w:right="1304" w:bottom="1304" w:left="1304" w:header="1134" w:footer="680" w:gutter="0"/>
          <w:cols w:space="708"/>
          <w:titlePg/>
          <w:docGrid w:linePitch="360"/>
        </w:sectPr>
      </w:pPr>
      <w:r w:rsidRPr="00051AC1">
        <w:t>Appen</w:t>
      </w:r>
      <w:r w:rsidR="00224349">
        <w:t>d</w:t>
      </w:r>
      <w:r w:rsidRPr="00051AC1">
        <w:t>2</w:t>
      </w:r>
    </w:p>
    <w:p w14:paraId="46F4BB9B" w14:textId="6FFB6776" w:rsidR="00D53FD5" w:rsidRPr="00224349" w:rsidRDefault="00CF40E5" w:rsidP="00224349">
      <w:pPr>
        <w:jc w:val="both"/>
        <w:sectPr w:rsidR="00D53FD5" w:rsidRPr="00224349" w:rsidSect="00D53FD5">
          <w:headerReference w:type="first" r:id="rId27"/>
          <w:pgSz w:w="16838" w:h="11906" w:orient="landscape" w:code="9"/>
          <w:pgMar w:top="1304" w:right="1418" w:bottom="1304" w:left="1304" w:header="1134" w:footer="680" w:gutter="0"/>
          <w:cols w:space="708"/>
          <w:titlePg/>
          <w:docGrid w:linePitch="360"/>
        </w:sectPr>
      </w:pPr>
      <w:r w:rsidRPr="009807E3">
        <w:rPr>
          <w:noProof/>
        </w:rPr>
        <w:lastRenderedPageBreak/>
        <w:drawing>
          <wp:inline distT="0" distB="0" distL="0" distR="0" wp14:anchorId="1DFA6D2F" wp14:editId="2B3B6FFA">
            <wp:extent cx="8963660" cy="288929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63660" cy="2889294"/>
                    </a:xfrm>
                    <a:prstGeom prst="rect">
                      <a:avLst/>
                    </a:prstGeom>
                    <a:noFill/>
                    <a:ln>
                      <a:noFill/>
                    </a:ln>
                  </pic:spPr>
                </pic:pic>
              </a:graphicData>
            </a:graphic>
          </wp:inline>
        </w:drawing>
      </w:r>
    </w:p>
    <w:p w14:paraId="1228885C" w14:textId="77777777" w:rsidR="00FA1C41" w:rsidRPr="009B677A" w:rsidRDefault="00FA1C41" w:rsidP="00224349">
      <w:pPr>
        <w:rPr>
          <w:b/>
          <w:sz w:val="28"/>
          <w:szCs w:val="28"/>
        </w:rPr>
      </w:pPr>
      <w:r w:rsidRPr="009B677A">
        <w:rPr>
          <w:b/>
          <w:sz w:val="28"/>
          <w:szCs w:val="28"/>
        </w:rPr>
        <w:lastRenderedPageBreak/>
        <w:t>Appendix 3</w:t>
      </w:r>
    </w:p>
    <w:p w14:paraId="3803EEA4" w14:textId="77777777" w:rsidR="00FA1C41" w:rsidRPr="00FA1C41" w:rsidRDefault="00FA1C41" w:rsidP="00FA1C41">
      <w:pPr>
        <w:spacing w:after="0"/>
        <w:rPr>
          <w:rFonts w:cs="Arial"/>
          <w:b/>
          <w:color w:val="auto"/>
          <w:lang w:eastAsia="en-US"/>
        </w:rPr>
      </w:pPr>
      <w:r w:rsidRPr="00FA1C41">
        <w:rPr>
          <w:rFonts w:cs="Arial"/>
          <w:b/>
          <w:color w:val="auto"/>
          <w:lang w:eastAsia="en-US"/>
        </w:rPr>
        <w:t>Initial Equalities Impact Assessment screening form</w:t>
      </w:r>
    </w:p>
    <w:p w14:paraId="09E6CC6B" w14:textId="77777777" w:rsidR="00FA1C41" w:rsidRPr="00FA1C41" w:rsidRDefault="00FA1C41" w:rsidP="00FA1C41">
      <w:pPr>
        <w:spacing w:after="0"/>
        <w:rPr>
          <w:rFonts w:cs="Arial"/>
          <w:b/>
          <w:color w:val="auto"/>
          <w:lang w:eastAsia="en-US"/>
        </w:rPr>
      </w:pPr>
    </w:p>
    <w:p w14:paraId="763CD93E" w14:textId="77777777" w:rsidR="00FA1C41" w:rsidRPr="00FA1C41" w:rsidRDefault="00FA1C41" w:rsidP="00FA1C41">
      <w:pPr>
        <w:numPr>
          <w:ilvl w:val="0"/>
          <w:numId w:val="11"/>
        </w:numPr>
        <w:autoSpaceDE w:val="0"/>
        <w:autoSpaceDN w:val="0"/>
        <w:adjustRightInd w:val="0"/>
        <w:spacing w:after="0"/>
        <w:rPr>
          <w:rFonts w:cs="Arial"/>
          <w:lang w:eastAsia="en-US"/>
        </w:rPr>
      </w:pPr>
      <w:r w:rsidRPr="00FA1C41">
        <w:rPr>
          <w:rFonts w:cs="Arial"/>
          <w:lang w:eastAsia="en-US"/>
        </w:rPr>
        <w:t xml:space="preserve">Within the aims and objectives of the policy or strategy which group (s) of people has been identified as being potentially disadvantaged by your proposals? What are the equality impacts? </w:t>
      </w:r>
    </w:p>
    <w:p w14:paraId="17671E74" w14:textId="77777777" w:rsidR="00FA1C41" w:rsidRPr="00FA1C41" w:rsidRDefault="00FA1C41" w:rsidP="00FA1C41">
      <w:pPr>
        <w:autoSpaceDE w:val="0"/>
        <w:autoSpaceDN w:val="0"/>
        <w:adjustRightInd w:val="0"/>
        <w:spacing w:after="0"/>
        <w:rPr>
          <w:rFonts w:cs="Arial"/>
          <w:highlight w:val="yellow"/>
          <w:lang w:eastAsia="en-US"/>
        </w:rPr>
      </w:pP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A1C41" w:rsidRPr="00FA1C41" w14:paraId="56BA0498" w14:textId="77777777" w:rsidTr="00127526">
        <w:tc>
          <w:tcPr>
            <w:tcW w:w="8522" w:type="dxa"/>
            <w:shd w:val="clear" w:color="auto" w:fill="auto"/>
          </w:tcPr>
          <w:p w14:paraId="6A081697" w14:textId="77777777" w:rsidR="00FA1C41" w:rsidRPr="00FA1C41" w:rsidRDefault="00FA1C41" w:rsidP="00FA1C41">
            <w:pPr>
              <w:autoSpaceDE w:val="0"/>
              <w:autoSpaceDN w:val="0"/>
              <w:adjustRightInd w:val="0"/>
              <w:spacing w:after="0"/>
              <w:rPr>
                <w:rFonts w:cs="Arial"/>
                <w:lang w:eastAsia="en-US"/>
              </w:rPr>
            </w:pPr>
            <w:r w:rsidRPr="00FA1C41">
              <w:rPr>
                <w:rFonts w:cs="Arial"/>
                <w:lang w:eastAsia="en-US"/>
              </w:rPr>
              <w:t>Council Tax Reduction is claimed by low income households in the city. The following groups are over represented in this cohort compared to the general population:</w:t>
            </w:r>
          </w:p>
          <w:p w14:paraId="53577F83" w14:textId="77777777" w:rsidR="00FA1C41" w:rsidRPr="00FA1C41" w:rsidRDefault="00FA1C41" w:rsidP="00FA1C41">
            <w:pPr>
              <w:autoSpaceDE w:val="0"/>
              <w:autoSpaceDN w:val="0"/>
              <w:adjustRightInd w:val="0"/>
              <w:spacing w:after="0"/>
              <w:rPr>
                <w:rFonts w:cs="Arial"/>
                <w:lang w:eastAsia="en-US"/>
              </w:rPr>
            </w:pPr>
            <w:r w:rsidRPr="00FA1C41">
              <w:rPr>
                <w:rFonts w:cs="Arial"/>
                <w:lang w:eastAsia="en-US"/>
              </w:rPr>
              <w:t>Women</w:t>
            </w:r>
          </w:p>
          <w:p w14:paraId="5EC3AA91" w14:textId="77777777" w:rsidR="00FA1C41" w:rsidRPr="00FA1C41" w:rsidRDefault="00FA1C41" w:rsidP="00FA1C41">
            <w:pPr>
              <w:autoSpaceDE w:val="0"/>
              <w:autoSpaceDN w:val="0"/>
              <w:adjustRightInd w:val="0"/>
              <w:spacing w:after="0"/>
              <w:rPr>
                <w:rFonts w:cs="Arial"/>
                <w:lang w:eastAsia="en-US"/>
              </w:rPr>
            </w:pPr>
            <w:r w:rsidRPr="00FA1C41">
              <w:rPr>
                <w:rFonts w:cs="Arial"/>
                <w:lang w:eastAsia="en-US"/>
              </w:rPr>
              <w:t>Single parent households</w:t>
            </w:r>
          </w:p>
          <w:p w14:paraId="13735EAF" w14:textId="77777777" w:rsidR="00FA1C41" w:rsidRPr="00FA1C41" w:rsidRDefault="00FA1C41" w:rsidP="00FA1C41">
            <w:pPr>
              <w:autoSpaceDE w:val="0"/>
              <w:autoSpaceDN w:val="0"/>
              <w:adjustRightInd w:val="0"/>
              <w:spacing w:after="0"/>
              <w:rPr>
                <w:rFonts w:cs="Arial"/>
                <w:lang w:eastAsia="en-US"/>
              </w:rPr>
            </w:pPr>
            <w:r w:rsidRPr="00FA1C41">
              <w:rPr>
                <w:rFonts w:cs="Arial"/>
                <w:lang w:eastAsia="en-US"/>
              </w:rPr>
              <w:t>Ethnic Minorities</w:t>
            </w:r>
          </w:p>
          <w:p w14:paraId="4C042987" w14:textId="77777777" w:rsidR="00FA1C41" w:rsidRPr="00FA1C41" w:rsidRDefault="00FA1C41" w:rsidP="00FA1C41">
            <w:pPr>
              <w:autoSpaceDE w:val="0"/>
              <w:autoSpaceDN w:val="0"/>
              <w:adjustRightInd w:val="0"/>
              <w:spacing w:after="0"/>
              <w:rPr>
                <w:rFonts w:cs="Arial"/>
                <w:lang w:eastAsia="en-US"/>
              </w:rPr>
            </w:pPr>
            <w:r w:rsidRPr="00FA1C41">
              <w:rPr>
                <w:rFonts w:cs="Arial"/>
                <w:lang w:eastAsia="en-US"/>
              </w:rPr>
              <w:t>People with a disability or lifelong illness</w:t>
            </w:r>
          </w:p>
        </w:tc>
      </w:tr>
    </w:tbl>
    <w:p w14:paraId="394F3248" w14:textId="77777777" w:rsidR="00FA1C41" w:rsidRPr="00FA1C41" w:rsidRDefault="00FA1C41" w:rsidP="00FA1C41">
      <w:pPr>
        <w:autoSpaceDE w:val="0"/>
        <w:autoSpaceDN w:val="0"/>
        <w:adjustRightInd w:val="0"/>
        <w:spacing w:after="0"/>
        <w:rPr>
          <w:rFonts w:cs="Arial"/>
          <w:highlight w:val="yellow"/>
          <w:lang w:eastAsia="en-US"/>
        </w:rPr>
      </w:pPr>
    </w:p>
    <w:p w14:paraId="2E48BFAF" w14:textId="77777777" w:rsidR="00FA1C41" w:rsidRPr="00FA1C41" w:rsidRDefault="00FA1C41" w:rsidP="00FA1C41">
      <w:pPr>
        <w:numPr>
          <w:ilvl w:val="0"/>
          <w:numId w:val="11"/>
        </w:numPr>
        <w:autoSpaceDE w:val="0"/>
        <w:autoSpaceDN w:val="0"/>
        <w:adjustRightInd w:val="0"/>
        <w:spacing w:after="0"/>
        <w:rPr>
          <w:rFonts w:cs="Arial"/>
          <w:bCs/>
          <w:color w:val="auto"/>
        </w:rPr>
      </w:pPr>
      <w:r w:rsidRPr="00FA1C41">
        <w:rPr>
          <w:rFonts w:cs="Arial"/>
          <w:lang w:eastAsia="en-US"/>
        </w:rPr>
        <w:t xml:space="preserve">In brief, what changes are you planning to make to your current or proposed new or changed policy, strategy, procedure, project or service to minimise or eliminate the adverse equality impacts? </w:t>
      </w:r>
    </w:p>
    <w:p w14:paraId="37EE7A03" w14:textId="77777777" w:rsidR="00FA1C41" w:rsidRPr="00FA1C41" w:rsidRDefault="00FA1C41" w:rsidP="00FA1C41">
      <w:pPr>
        <w:autoSpaceDE w:val="0"/>
        <w:autoSpaceDN w:val="0"/>
        <w:adjustRightInd w:val="0"/>
        <w:spacing w:after="0"/>
        <w:rPr>
          <w:rFonts w:cs="Arial"/>
          <w:bCs/>
          <w:color w:val="auto"/>
        </w:rPr>
      </w:pPr>
    </w:p>
    <w:p w14:paraId="52CB8BF9" w14:textId="77777777" w:rsidR="00FA1C41" w:rsidRPr="00FA1C41" w:rsidRDefault="00FA1C41" w:rsidP="00FA1C41">
      <w:pPr>
        <w:autoSpaceDE w:val="0"/>
        <w:autoSpaceDN w:val="0"/>
        <w:adjustRightInd w:val="0"/>
        <w:spacing w:after="0"/>
        <w:ind w:left="709" w:hanging="349"/>
        <w:rPr>
          <w:rFonts w:cs="Arial"/>
          <w:lang w:eastAsia="en-US"/>
        </w:rPr>
      </w:pPr>
      <w:r w:rsidRPr="00FA1C41">
        <w:rPr>
          <w:rFonts w:cs="Arial"/>
          <w:lang w:eastAsia="en-US"/>
        </w:rPr>
        <w:t xml:space="preserve">      Please provide further details of the proposed actions, timetable for making the changes and the person(s) responsible for making the changes on the resultant action plan </w:t>
      </w:r>
    </w:p>
    <w:p w14:paraId="65C5A2DA" w14:textId="77777777" w:rsidR="00FA1C41" w:rsidRPr="00FA1C41" w:rsidRDefault="00FA1C41" w:rsidP="00FA1C41">
      <w:pPr>
        <w:autoSpaceDE w:val="0"/>
        <w:autoSpaceDN w:val="0"/>
        <w:adjustRightInd w:val="0"/>
        <w:spacing w:after="0"/>
        <w:rPr>
          <w:rFonts w:cs="Arial"/>
          <w:highlight w:val="yellow"/>
          <w:lang w:eastAsia="en-US"/>
        </w:rPr>
      </w:pP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A1C41" w:rsidRPr="00FA1C41" w14:paraId="0037AD22" w14:textId="77777777" w:rsidTr="00127526">
        <w:tc>
          <w:tcPr>
            <w:tcW w:w="8522" w:type="dxa"/>
            <w:shd w:val="clear" w:color="auto" w:fill="auto"/>
          </w:tcPr>
          <w:p w14:paraId="6A056567" w14:textId="77777777" w:rsidR="00FA1C41" w:rsidRPr="00FA1C41" w:rsidRDefault="00FA1C41" w:rsidP="00FA1C41">
            <w:pPr>
              <w:autoSpaceDE w:val="0"/>
              <w:autoSpaceDN w:val="0"/>
              <w:adjustRightInd w:val="0"/>
              <w:spacing w:after="0"/>
              <w:rPr>
                <w:rFonts w:cs="Arial"/>
                <w:bCs/>
                <w:color w:val="auto"/>
              </w:rPr>
            </w:pPr>
            <w:r>
              <w:rPr>
                <w:rFonts w:cs="Arial"/>
                <w:bCs/>
                <w:color w:val="auto"/>
              </w:rPr>
              <w:t>The 2022/23</w:t>
            </w:r>
            <w:r w:rsidRPr="00FA1C41">
              <w:rPr>
                <w:rFonts w:cs="Arial"/>
                <w:bCs/>
                <w:color w:val="auto"/>
              </w:rPr>
              <w:t xml:space="preserve"> Council Tax Reduction Scheme has been informed by a consultation process. This included:</w:t>
            </w:r>
          </w:p>
          <w:p w14:paraId="6C1002F2" w14:textId="77777777" w:rsidR="00FA1C41" w:rsidRPr="00FA1C41" w:rsidRDefault="00FA1C41" w:rsidP="00FA1C41">
            <w:pPr>
              <w:numPr>
                <w:ilvl w:val="0"/>
                <w:numId w:val="24"/>
              </w:numPr>
              <w:tabs>
                <w:tab w:val="left" w:pos="426"/>
              </w:tabs>
              <w:autoSpaceDE w:val="0"/>
              <w:autoSpaceDN w:val="0"/>
              <w:adjustRightInd w:val="0"/>
              <w:spacing w:after="0"/>
              <w:rPr>
                <w:rFonts w:cs="Arial"/>
                <w:color w:val="auto"/>
              </w:rPr>
            </w:pPr>
            <w:r w:rsidRPr="00FA1C41">
              <w:rPr>
                <w:rFonts w:cs="Arial"/>
                <w:color w:val="auto"/>
              </w:rPr>
              <w:t>Reducing the costs of the CTR Scheme for working age claimants by introducing a minimum charge for all residents</w:t>
            </w:r>
            <w:r>
              <w:rPr>
                <w:rFonts w:cs="Arial"/>
                <w:color w:val="auto"/>
              </w:rPr>
              <w:t>, or for all residents</w:t>
            </w:r>
            <w:r w:rsidRPr="00FA1C41">
              <w:rPr>
                <w:rFonts w:cs="Arial"/>
                <w:color w:val="auto"/>
              </w:rPr>
              <w:t xml:space="preserve"> unless they fall within certain criteria (modelling has been undertaken to assess the impact of any charge introduced);</w:t>
            </w:r>
          </w:p>
          <w:p w14:paraId="3D4DF8A6" w14:textId="77777777" w:rsidR="00FA1C41" w:rsidRDefault="00FA1C41" w:rsidP="00FA1C41">
            <w:pPr>
              <w:numPr>
                <w:ilvl w:val="0"/>
                <w:numId w:val="24"/>
              </w:numPr>
              <w:tabs>
                <w:tab w:val="left" w:pos="426"/>
              </w:tabs>
              <w:autoSpaceDE w:val="0"/>
              <w:autoSpaceDN w:val="0"/>
              <w:adjustRightInd w:val="0"/>
              <w:spacing w:after="0"/>
              <w:rPr>
                <w:rFonts w:cs="Arial"/>
                <w:color w:val="auto"/>
              </w:rPr>
            </w:pPr>
            <w:r w:rsidRPr="00FA1C41">
              <w:rPr>
                <w:rFonts w:cs="Arial"/>
                <w:color w:val="auto"/>
              </w:rPr>
              <w:t>Uprating the current Income Bands for UC claimants;</w:t>
            </w:r>
          </w:p>
          <w:p w14:paraId="7348C028" w14:textId="77777777" w:rsidR="00FA1C41" w:rsidRPr="00FA1C41" w:rsidRDefault="00FA1C41" w:rsidP="00FA1C41">
            <w:pPr>
              <w:numPr>
                <w:ilvl w:val="0"/>
                <w:numId w:val="24"/>
              </w:numPr>
              <w:tabs>
                <w:tab w:val="left" w:pos="426"/>
              </w:tabs>
              <w:autoSpaceDE w:val="0"/>
              <w:autoSpaceDN w:val="0"/>
              <w:adjustRightInd w:val="0"/>
              <w:spacing w:after="0"/>
              <w:rPr>
                <w:rFonts w:cs="Arial"/>
                <w:color w:val="auto"/>
              </w:rPr>
            </w:pPr>
            <w:r>
              <w:rPr>
                <w:rFonts w:cs="Arial"/>
                <w:color w:val="auto"/>
              </w:rPr>
              <w:t>Taking into account household composition</w:t>
            </w:r>
          </w:p>
          <w:p w14:paraId="4900C627" w14:textId="77777777" w:rsidR="00FA1C41" w:rsidRPr="00FA1C41" w:rsidRDefault="00FA1C41" w:rsidP="00FA1C41">
            <w:pPr>
              <w:numPr>
                <w:ilvl w:val="0"/>
                <w:numId w:val="24"/>
              </w:numPr>
              <w:tabs>
                <w:tab w:val="left" w:pos="426"/>
              </w:tabs>
              <w:autoSpaceDE w:val="0"/>
              <w:autoSpaceDN w:val="0"/>
              <w:adjustRightInd w:val="0"/>
              <w:spacing w:after="0"/>
              <w:rPr>
                <w:rFonts w:cs="Arial"/>
                <w:color w:val="auto"/>
              </w:rPr>
            </w:pPr>
            <w:r w:rsidRPr="00FA1C41">
              <w:rPr>
                <w:rFonts w:cs="Arial"/>
                <w:color w:val="auto"/>
              </w:rPr>
              <w:t>Minor changes to simplify some of the existing scheme rules, such as non-dependant</w:t>
            </w:r>
            <w:r>
              <w:rPr>
                <w:rFonts w:cs="Arial"/>
                <w:color w:val="auto"/>
              </w:rPr>
              <w:t xml:space="preserve"> </w:t>
            </w:r>
            <w:r w:rsidRPr="00FA1C41">
              <w:rPr>
                <w:rFonts w:cs="Arial"/>
                <w:color w:val="auto"/>
              </w:rPr>
              <w:t>d</w:t>
            </w:r>
            <w:r>
              <w:rPr>
                <w:rFonts w:cs="Arial"/>
                <w:color w:val="auto"/>
              </w:rPr>
              <w:t>eductions</w:t>
            </w:r>
          </w:p>
          <w:p w14:paraId="3DBE9751" w14:textId="77777777" w:rsidR="00FA1C41" w:rsidRPr="00FA1C41" w:rsidRDefault="00FA1C41" w:rsidP="00FA1C41">
            <w:pPr>
              <w:autoSpaceDE w:val="0"/>
              <w:autoSpaceDN w:val="0"/>
              <w:adjustRightInd w:val="0"/>
              <w:spacing w:after="0"/>
              <w:ind w:firstLine="720"/>
              <w:rPr>
                <w:rFonts w:cs="Arial"/>
                <w:color w:val="auto"/>
              </w:rPr>
            </w:pPr>
          </w:p>
          <w:p w14:paraId="53BFCD66" w14:textId="77777777" w:rsidR="00FA1C41" w:rsidRPr="00FA1C41" w:rsidRDefault="00FA1C41" w:rsidP="00FA1C41">
            <w:pPr>
              <w:autoSpaceDE w:val="0"/>
              <w:autoSpaceDN w:val="0"/>
              <w:adjustRightInd w:val="0"/>
              <w:spacing w:after="0"/>
              <w:rPr>
                <w:rFonts w:cs="Arial"/>
                <w:bCs/>
                <w:color w:val="auto"/>
                <w:sz w:val="22"/>
                <w:szCs w:val="22"/>
              </w:rPr>
            </w:pPr>
            <w:r w:rsidRPr="00FA1C41">
              <w:rPr>
                <w:rFonts w:cs="Arial"/>
                <w:bCs/>
                <w:color w:val="auto"/>
              </w:rPr>
              <w:t>Within the existing Council Tax regulations, there is provision for discretionary payments to be made to people experiencing hardship. Anyone disadvantaged by the Council Tax Reduction scheme can apply for help from this scheme. Changes wi</w:t>
            </w:r>
            <w:r>
              <w:rPr>
                <w:rFonts w:cs="Arial"/>
                <w:bCs/>
                <w:color w:val="auto"/>
              </w:rPr>
              <w:t>ll take effect from 1 April 2022</w:t>
            </w:r>
            <w:r w:rsidRPr="00FA1C41">
              <w:rPr>
                <w:rFonts w:cs="Arial"/>
                <w:bCs/>
                <w:color w:val="auto"/>
              </w:rPr>
              <w:t xml:space="preserve"> unless otherwise stated</w:t>
            </w:r>
          </w:p>
        </w:tc>
      </w:tr>
    </w:tbl>
    <w:p w14:paraId="72F9941E" w14:textId="77777777" w:rsidR="00FA1C41" w:rsidRPr="00FA1C41" w:rsidRDefault="00FA1C41" w:rsidP="00FA1C41">
      <w:pPr>
        <w:autoSpaceDE w:val="0"/>
        <w:autoSpaceDN w:val="0"/>
        <w:adjustRightInd w:val="0"/>
        <w:spacing w:after="0"/>
        <w:rPr>
          <w:rFonts w:cs="Arial"/>
          <w:bCs/>
          <w:color w:val="auto"/>
          <w:highlight w:val="yellow"/>
        </w:rPr>
      </w:pPr>
    </w:p>
    <w:p w14:paraId="6BB42787" w14:textId="77777777" w:rsidR="00FA1C41" w:rsidRPr="00FA1C41" w:rsidRDefault="00FA1C41" w:rsidP="00FA1C41">
      <w:pPr>
        <w:numPr>
          <w:ilvl w:val="0"/>
          <w:numId w:val="11"/>
        </w:numPr>
        <w:autoSpaceDE w:val="0"/>
        <w:autoSpaceDN w:val="0"/>
        <w:adjustRightInd w:val="0"/>
        <w:spacing w:after="0"/>
        <w:rPr>
          <w:rFonts w:cs="Arial"/>
          <w:bCs/>
          <w:color w:val="auto"/>
        </w:rPr>
      </w:pPr>
      <w:r w:rsidRPr="00FA1C41">
        <w:rPr>
          <w:rFonts w:cs="Arial"/>
          <w:color w:val="auto"/>
          <w:lang w:eastAsia="en-US"/>
        </w:rPr>
        <w:t xml:space="preserve">Please provide details of whom you will consult on the proposed changes and if you do not plan to consult, please provide the rationale behind that decision. </w:t>
      </w:r>
    </w:p>
    <w:p w14:paraId="795D4C2B" w14:textId="77777777" w:rsidR="00FA1C41" w:rsidRPr="00FA1C41" w:rsidRDefault="00FA1C41" w:rsidP="00FA1C41">
      <w:pPr>
        <w:autoSpaceDE w:val="0"/>
        <w:autoSpaceDN w:val="0"/>
        <w:adjustRightInd w:val="0"/>
        <w:spacing w:after="0"/>
        <w:rPr>
          <w:rFonts w:cs="Arial"/>
          <w:bCs/>
          <w:color w:val="auto"/>
        </w:rPr>
      </w:pPr>
    </w:p>
    <w:p w14:paraId="0B3FFDA4" w14:textId="77777777" w:rsidR="00FA1C41" w:rsidRPr="00FA1C41" w:rsidRDefault="00FA1C41" w:rsidP="00FA1C41">
      <w:pPr>
        <w:autoSpaceDE w:val="0"/>
        <w:autoSpaceDN w:val="0"/>
        <w:adjustRightInd w:val="0"/>
        <w:spacing w:after="0"/>
        <w:ind w:left="709" w:hanging="709"/>
        <w:rPr>
          <w:rFonts w:cs="Arial"/>
          <w:color w:val="auto"/>
          <w:lang w:eastAsia="en-US"/>
        </w:rPr>
      </w:pPr>
      <w:r w:rsidRPr="00FA1C41">
        <w:rPr>
          <w:rFonts w:cs="Arial"/>
          <w:bCs/>
          <w:color w:val="auto"/>
        </w:rPr>
        <w:t xml:space="preserve">           </w:t>
      </w:r>
      <w:r w:rsidRPr="00FA1C41">
        <w:rPr>
          <w:rFonts w:cs="Arial"/>
          <w:color w:val="auto"/>
          <w:lang w:eastAsia="en-US"/>
        </w:rPr>
        <w:t>Please note that you are required to involve disabled people in decisions that impact on them</w:t>
      </w:r>
    </w:p>
    <w:p w14:paraId="30F24556" w14:textId="77777777" w:rsidR="00FA1C41" w:rsidRPr="00FA1C41" w:rsidRDefault="00FA1C41" w:rsidP="00FA1C41">
      <w:pPr>
        <w:autoSpaceDE w:val="0"/>
        <w:autoSpaceDN w:val="0"/>
        <w:adjustRightInd w:val="0"/>
        <w:spacing w:after="0"/>
        <w:rPr>
          <w:rFonts w:cs="Arial"/>
          <w:color w:val="auto"/>
          <w:highlight w:val="yellow"/>
          <w:lang w:eastAsia="en-US"/>
        </w:rPr>
      </w:pPr>
      <w:r w:rsidRPr="00FA1C41">
        <w:rPr>
          <w:rFonts w:cs="Arial"/>
          <w:color w:val="auto"/>
          <w:highlight w:val="yellow"/>
          <w:lang w:eastAsia="en-US"/>
        </w:rPr>
        <w:t xml:space="preserve">  </w:t>
      </w: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A1C41" w:rsidRPr="00FA1C41" w14:paraId="080616D1" w14:textId="77777777" w:rsidTr="00127526">
        <w:tc>
          <w:tcPr>
            <w:tcW w:w="8522" w:type="dxa"/>
            <w:shd w:val="clear" w:color="auto" w:fill="auto"/>
          </w:tcPr>
          <w:p w14:paraId="595AB607" w14:textId="77777777" w:rsidR="00FA1C41" w:rsidRPr="00FA1C41" w:rsidRDefault="00FA1C41" w:rsidP="00FA1C41">
            <w:pPr>
              <w:autoSpaceDE w:val="0"/>
              <w:autoSpaceDN w:val="0"/>
              <w:adjustRightInd w:val="0"/>
              <w:spacing w:after="0"/>
              <w:rPr>
                <w:rFonts w:cs="Arial"/>
                <w:color w:val="auto"/>
                <w:lang w:eastAsia="en-US"/>
              </w:rPr>
            </w:pPr>
            <w:r w:rsidRPr="00FA1C41">
              <w:rPr>
                <w:rFonts w:cs="Arial"/>
                <w:color w:val="auto"/>
                <w:lang w:eastAsia="en-US"/>
              </w:rPr>
              <w:t xml:space="preserve">We have consulted via our website, electronically with major preceptors and advice agencies, and invited people to respond via email straplines. The </w:t>
            </w:r>
            <w:r w:rsidRPr="00FA1C41">
              <w:rPr>
                <w:rFonts w:cs="Arial"/>
                <w:color w:val="auto"/>
                <w:lang w:eastAsia="en-US"/>
              </w:rPr>
              <w:lastRenderedPageBreak/>
              <w:t>Council also targeted all CTR claimants via email and letter.</w:t>
            </w:r>
            <w:r>
              <w:rPr>
                <w:rFonts w:cs="Arial"/>
                <w:color w:val="auto"/>
                <w:lang w:eastAsia="en-US"/>
              </w:rPr>
              <w:t xml:space="preserve"> Paper copies were placed in libraries and were available to anyone unable to access the consultation on line</w:t>
            </w:r>
          </w:p>
        </w:tc>
      </w:tr>
    </w:tbl>
    <w:p w14:paraId="6CA61575" w14:textId="77777777" w:rsidR="00FA1C41" w:rsidRPr="00FA1C41" w:rsidRDefault="00FA1C41" w:rsidP="00FA1C41">
      <w:pPr>
        <w:autoSpaceDE w:val="0"/>
        <w:autoSpaceDN w:val="0"/>
        <w:adjustRightInd w:val="0"/>
        <w:spacing w:after="0"/>
        <w:rPr>
          <w:rFonts w:cs="Arial"/>
          <w:bCs/>
          <w:color w:val="auto"/>
        </w:rPr>
      </w:pPr>
    </w:p>
    <w:p w14:paraId="3A9218EC" w14:textId="77777777" w:rsidR="00FA1C41" w:rsidRPr="00FA1C41" w:rsidRDefault="00FA1C41" w:rsidP="00FA1C41">
      <w:pPr>
        <w:numPr>
          <w:ilvl w:val="0"/>
          <w:numId w:val="11"/>
        </w:numPr>
        <w:autoSpaceDE w:val="0"/>
        <w:autoSpaceDN w:val="0"/>
        <w:adjustRightInd w:val="0"/>
        <w:spacing w:after="0"/>
        <w:rPr>
          <w:rFonts w:cs="Arial"/>
          <w:bCs/>
          <w:color w:val="auto"/>
        </w:rPr>
      </w:pPr>
      <w:r w:rsidRPr="00FA1C41">
        <w:rPr>
          <w:rFonts w:cs="Arial"/>
          <w:color w:val="auto"/>
          <w:lang w:eastAsia="en-US"/>
        </w:rPr>
        <w:t xml:space="preserve">Can the adverse impacts you identified during the initial screening be justified without making any adjustments to the existing or new policy, strategy, procedure, project or service? </w:t>
      </w:r>
    </w:p>
    <w:p w14:paraId="11D2F379" w14:textId="77777777" w:rsidR="00FA1C41" w:rsidRPr="00FA1C41" w:rsidRDefault="00FA1C41" w:rsidP="00FA1C41">
      <w:pPr>
        <w:autoSpaceDE w:val="0"/>
        <w:autoSpaceDN w:val="0"/>
        <w:adjustRightInd w:val="0"/>
        <w:spacing w:after="0"/>
        <w:ind w:left="720"/>
        <w:rPr>
          <w:rFonts w:cs="Arial"/>
          <w:bCs/>
          <w:color w:val="auto"/>
        </w:rPr>
      </w:pPr>
    </w:p>
    <w:p w14:paraId="64D32559" w14:textId="77777777" w:rsidR="00FA1C41" w:rsidRPr="00FA1C41" w:rsidRDefault="00FA1C41" w:rsidP="00FA1C41">
      <w:pPr>
        <w:autoSpaceDE w:val="0"/>
        <w:autoSpaceDN w:val="0"/>
        <w:adjustRightInd w:val="0"/>
        <w:spacing w:after="0"/>
        <w:ind w:left="360"/>
        <w:rPr>
          <w:rFonts w:cs="Arial"/>
          <w:bCs/>
          <w:color w:val="auto"/>
        </w:rPr>
      </w:pPr>
      <w:r w:rsidRPr="00FA1C41">
        <w:rPr>
          <w:rFonts w:cs="Arial"/>
          <w:bCs/>
          <w:color w:val="auto"/>
        </w:rPr>
        <w:t xml:space="preserve">      </w:t>
      </w:r>
      <w:r w:rsidRPr="00FA1C41">
        <w:rPr>
          <w:rFonts w:cs="Arial"/>
          <w:color w:val="auto"/>
          <w:lang w:eastAsia="en-US"/>
        </w:rPr>
        <w:t>Please set out the basis on which you justify making no adjustments</w:t>
      </w:r>
    </w:p>
    <w:p w14:paraId="134CB09C" w14:textId="77777777" w:rsidR="00FA1C41" w:rsidRPr="00FA1C41" w:rsidRDefault="00FA1C41" w:rsidP="00FA1C41">
      <w:pPr>
        <w:autoSpaceDE w:val="0"/>
        <w:autoSpaceDN w:val="0"/>
        <w:adjustRightInd w:val="0"/>
        <w:spacing w:after="0"/>
        <w:rPr>
          <w:rFonts w:cs="Arial"/>
          <w:color w:val="auto"/>
          <w:highlight w:val="yellow"/>
          <w:lang w:eastAsia="en-US"/>
        </w:rPr>
      </w:pPr>
    </w:p>
    <w:tbl>
      <w:tblPr>
        <w:tblW w:w="852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A1C41" w:rsidRPr="00FA1C41" w14:paraId="6879C9E5" w14:textId="77777777" w:rsidTr="00127526">
        <w:tc>
          <w:tcPr>
            <w:tcW w:w="8522" w:type="dxa"/>
            <w:shd w:val="clear" w:color="auto" w:fill="auto"/>
          </w:tcPr>
          <w:p w14:paraId="00200C05" w14:textId="77777777" w:rsidR="00FA1C41" w:rsidRPr="00FA1C41" w:rsidRDefault="00FA1C41" w:rsidP="00FA1C41">
            <w:pPr>
              <w:autoSpaceDE w:val="0"/>
              <w:autoSpaceDN w:val="0"/>
              <w:adjustRightInd w:val="0"/>
              <w:spacing w:after="0"/>
              <w:rPr>
                <w:rFonts w:cs="Arial"/>
                <w:bCs/>
                <w:color w:val="auto"/>
              </w:rPr>
            </w:pPr>
            <w:r w:rsidRPr="00FA1C41">
              <w:rPr>
                <w:rFonts w:cs="Arial"/>
                <w:bCs/>
                <w:color w:val="auto"/>
              </w:rPr>
              <w:t>Within the existing Council Tax regulations, there is provision for discretionary payments to be made to people experiencing hardship. Anyone disadvantaged by the Council Tax Reduction scheme can apply for help from this scheme.</w:t>
            </w:r>
          </w:p>
        </w:tc>
      </w:tr>
    </w:tbl>
    <w:p w14:paraId="23434B3C" w14:textId="77777777" w:rsidR="00FA1C41" w:rsidRPr="00FA1C41" w:rsidRDefault="00FA1C41" w:rsidP="00FA1C41">
      <w:pPr>
        <w:autoSpaceDE w:val="0"/>
        <w:autoSpaceDN w:val="0"/>
        <w:adjustRightInd w:val="0"/>
        <w:spacing w:after="0"/>
        <w:rPr>
          <w:rFonts w:cs="Arial"/>
          <w:bCs/>
          <w:color w:val="auto"/>
        </w:rPr>
      </w:pPr>
    </w:p>
    <w:p w14:paraId="67A9F404" w14:textId="77777777" w:rsidR="00FA1C41" w:rsidRPr="00FA1C41" w:rsidRDefault="00FA1C41" w:rsidP="00FA1C41">
      <w:pPr>
        <w:numPr>
          <w:ilvl w:val="0"/>
          <w:numId w:val="11"/>
        </w:numPr>
        <w:autoSpaceDE w:val="0"/>
        <w:autoSpaceDN w:val="0"/>
        <w:adjustRightInd w:val="0"/>
        <w:spacing w:after="0"/>
        <w:rPr>
          <w:color w:val="auto"/>
        </w:rPr>
      </w:pPr>
      <w:r w:rsidRPr="00FA1C41">
        <w:rPr>
          <w:color w:val="auto"/>
        </w:rPr>
        <w:t xml:space="preserve">You are legally required to monitor and review the proposed changes after implementation to check they work as planned and to screen for unexpected equality impacts. </w:t>
      </w:r>
    </w:p>
    <w:p w14:paraId="7E0338A2" w14:textId="77777777" w:rsidR="00FA1C41" w:rsidRPr="00FA1C41" w:rsidRDefault="00FA1C41" w:rsidP="00FA1C41">
      <w:pPr>
        <w:autoSpaceDE w:val="0"/>
        <w:autoSpaceDN w:val="0"/>
        <w:adjustRightInd w:val="0"/>
        <w:spacing w:after="0"/>
        <w:rPr>
          <w:color w:val="auto"/>
        </w:rPr>
      </w:pPr>
    </w:p>
    <w:p w14:paraId="5CA0905E" w14:textId="77777777" w:rsidR="00FA1C41" w:rsidRPr="00FA1C41" w:rsidRDefault="00FA1C41" w:rsidP="00FA1C41">
      <w:pPr>
        <w:autoSpaceDE w:val="0"/>
        <w:autoSpaceDN w:val="0"/>
        <w:adjustRightInd w:val="0"/>
        <w:spacing w:after="0"/>
        <w:ind w:left="360"/>
        <w:rPr>
          <w:color w:val="auto"/>
        </w:rPr>
      </w:pPr>
      <w:r w:rsidRPr="00FA1C41">
        <w:rPr>
          <w:color w:val="auto"/>
        </w:rPr>
        <w:t xml:space="preserve">      Please provide details of how you will monitor/evaluate or review your </w:t>
      </w:r>
    </w:p>
    <w:p w14:paraId="16CF472F" w14:textId="77777777" w:rsidR="00FA1C41" w:rsidRPr="00FA1C41" w:rsidRDefault="00FA1C41" w:rsidP="00FA1C41">
      <w:pPr>
        <w:autoSpaceDE w:val="0"/>
        <w:autoSpaceDN w:val="0"/>
        <w:adjustRightInd w:val="0"/>
        <w:spacing w:after="0"/>
        <w:ind w:left="360"/>
        <w:rPr>
          <w:color w:val="auto"/>
        </w:rPr>
      </w:pPr>
      <w:r w:rsidRPr="00FA1C41">
        <w:rPr>
          <w:color w:val="auto"/>
        </w:rPr>
        <w:t xml:space="preserve">      Proposals and when the review will take place. </w:t>
      </w:r>
    </w:p>
    <w:p w14:paraId="28EA922B" w14:textId="77777777" w:rsidR="00FA1C41" w:rsidRPr="00FA1C41" w:rsidRDefault="00FA1C41" w:rsidP="00FA1C41">
      <w:pPr>
        <w:spacing w:after="0"/>
        <w:rPr>
          <w:rFonts w:ascii="Times New Roman" w:hAnsi="Times New Roman"/>
          <w:color w:val="auto"/>
          <w:highlight w:val="yellow"/>
        </w:rPr>
      </w:pPr>
    </w:p>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A1C41" w:rsidRPr="00FA1C41" w14:paraId="4C46E6C8" w14:textId="77777777" w:rsidTr="00127526">
        <w:tc>
          <w:tcPr>
            <w:tcW w:w="8522" w:type="dxa"/>
            <w:shd w:val="clear" w:color="auto" w:fill="auto"/>
          </w:tcPr>
          <w:p w14:paraId="49F64906" w14:textId="77777777" w:rsidR="00FA1C41" w:rsidRPr="00FA1C41" w:rsidRDefault="00FA1C41" w:rsidP="00FA1C41">
            <w:pPr>
              <w:spacing w:after="0"/>
              <w:rPr>
                <w:rFonts w:cs="Arial"/>
                <w:color w:val="auto"/>
              </w:rPr>
            </w:pPr>
            <w:r w:rsidRPr="00FA1C41">
              <w:rPr>
                <w:rFonts w:cs="Arial"/>
                <w:color w:val="auto"/>
              </w:rPr>
              <w:t xml:space="preserve">The impact will be monitored via applications for discretionary support. This should highlight any areas of concern. </w:t>
            </w:r>
          </w:p>
          <w:p w14:paraId="085C3703" w14:textId="77777777" w:rsidR="00FA1C41" w:rsidRPr="00FA1C41" w:rsidRDefault="00FA1C41" w:rsidP="00FA1C41">
            <w:pPr>
              <w:spacing w:after="0"/>
              <w:rPr>
                <w:rFonts w:cs="Arial"/>
                <w:color w:val="auto"/>
              </w:rPr>
            </w:pPr>
            <w:r w:rsidRPr="00FA1C41">
              <w:rPr>
                <w:rFonts w:cs="Arial"/>
                <w:color w:val="auto"/>
              </w:rPr>
              <w:t>The Council will also continue to ensure that it promotes the CTR scheme to anyone moving onto Universal Credit, as it will need to be by a separate application.</w:t>
            </w:r>
          </w:p>
          <w:p w14:paraId="54B71AAC" w14:textId="77777777" w:rsidR="00FA1C41" w:rsidRPr="00FA1C41" w:rsidRDefault="00FA1C41" w:rsidP="00FA1C41">
            <w:pPr>
              <w:spacing w:after="0"/>
              <w:rPr>
                <w:rFonts w:cs="Arial"/>
                <w:color w:val="auto"/>
              </w:rPr>
            </w:pPr>
            <w:r w:rsidRPr="00FA1C41">
              <w:rPr>
                <w:rFonts w:cs="Arial"/>
                <w:color w:val="auto"/>
              </w:rPr>
              <w:t>The Council regularly monitors spend on CTR and will be informed as this rises/decreases</w:t>
            </w:r>
          </w:p>
          <w:p w14:paraId="0F871540" w14:textId="77777777" w:rsidR="00FA1C41" w:rsidRPr="00FA1C41" w:rsidRDefault="00FA1C41" w:rsidP="00FA1C41">
            <w:pPr>
              <w:spacing w:after="0"/>
              <w:rPr>
                <w:rFonts w:ascii="Times New Roman" w:hAnsi="Times New Roman"/>
                <w:color w:val="auto"/>
              </w:rPr>
            </w:pPr>
          </w:p>
        </w:tc>
      </w:tr>
    </w:tbl>
    <w:p w14:paraId="571058C7" w14:textId="77777777" w:rsidR="00FA1C41" w:rsidRPr="00FA1C41" w:rsidRDefault="00FA1C41" w:rsidP="00FA1C41">
      <w:pPr>
        <w:spacing w:after="0"/>
        <w:rPr>
          <w:rFonts w:ascii="Times New Roman" w:hAnsi="Times New Roman"/>
          <w:color w:val="auto"/>
          <w:highlight w:val="yellow"/>
        </w:rPr>
      </w:pPr>
    </w:p>
    <w:p w14:paraId="292AA721" w14:textId="77777777" w:rsidR="00FA1C41" w:rsidRPr="00FA1C41" w:rsidRDefault="00FA1C41" w:rsidP="00FA1C41">
      <w:pPr>
        <w:spacing w:after="0"/>
        <w:rPr>
          <w:rFonts w:ascii="Times New Roman" w:hAnsi="Times New Roman"/>
          <w:color w:val="auto"/>
          <w:highlight w:val="yellow"/>
        </w:rPr>
      </w:pPr>
    </w:p>
    <w:p w14:paraId="645A78D9" w14:textId="77777777" w:rsidR="00FA1C41" w:rsidRPr="00FA1C41" w:rsidRDefault="00FA1C41" w:rsidP="00FA1C41">
      <w:pPr>
        <w:spacing w:after="0"/>
        <w:rPr>
          <w:rFonts w:ascii="Times New Roman" w:hAnsi="Times New Roman"/>
          <w:color w:val="auto"/>
          <w:highlight w:val="yellow"/>
        </w:rPr>
      </w:pPr>
    </w:p>
    <w:p w14:paraId="7DDB1131" w14:textId="77777777" w:rsidR="00FA1C41" w:rsidRPr="00FA1C41" w:rsidRDefault="00FA1C41" w:rsidP="00FA1C41">
      <w:pPr>
        <w:spacing w:after="0"/>
        <w:rPr>
          <w:rFonts w:ascii="Times New Roman" w:hAnsi="Times New Roman"/>
          <w:color w:val="auto"/>
          <w:highlight w:val="yellow"/>
        </w:rPr>
      </w:pPr>
    </w:p>
    <w:p w14:paraId="582F8860" w14:textId="77777777" w:rsidR="00FA1C41" w:rsidRPr="00FA1C41" w:rsidRDefault="00FA1C41" w:rsidP="00FA1C41">
      <w:pPr>
        <w:spacing w:after="0"/>
        <w:rPr>
          <w:rFonts w:ascii="Times New Roman" w:hAnsi="Times New Roman"/>
          <w:color w:val="auto"/>
          <w:highlight w:val="yellow"/>
        </w:rPr>
      </w:pPr>
    </w:p>
    <w:p w14:paraId="328FA337" w14:textId="77777777" w:rsidR="00FA1C41" w:rsidRPr="00FA1C41" w:rsidRDefault="00FA1C41" w:rsidP="00FA1C41">
      <w:pPr>
        <w:spacing w:after="0"/>
        <w:rPr>
          <w:rFonts w:ascii="Times New Roman" w:hAnsi="Times New Roman"/>
          <w:color w:val="auto"/>
          <w:highlight w:val="yellow"/>
        </w:rPr>
      </w:pPr>
    </w:p>
    <w:p w14:paraId="4B7554BD" w14:textId="77777777" w:rsidR="00FA1C41" w:rsidRPr="00FA1C41" w:rsidRDefault="00FA1C41" w:rsidP="00FA1C41">
      <w:pPr>
        <w:spacing w:after="0"/>
        <w:ind w:left="360"/>
        <w:rPr>
          <w:rFonts w:ascii="Times New Roman" w:hAnsi="Times New Roman"/>
          <w:color w:val="auto"/>
        </w:rPr>
      </w:pPr>
    </w:p>
    <w:p w14:paraId="6F40B5BE" w14:textId="77777777" w:rsidR="00FA1C41" w:rsidRPr="00FA1C41" w:rsidRDefault="00FA1C41" w:rsidP="00FA1C41">
      <w:pPr>
        <w:spacing w:after="0"/>
        <w:rPr>
          <w:rFonts w:cs="Arial"/>
          <w:color w:val="auto"/>
          <w:lang w:eastAsia="en-US"/>
        </w:rPr>
      </w:pPr>
    </w:p>
    <w:p w14:paraId="2089271F" w14:textId="77777777" w:rsidR="00FA1C41" w:rsidRPr="00FA1C41" w:rsidRDefault="00FA1C41" w:rsidP="00FA1C41">
      <w:pPr>
        <w:spacing w:after="0"/>
        <w:rPr>
          <w:rFonts w:cs="Arial"/>
          <w:color w:val="auto"/>
          <w:lang w:eastAsia="en-US"/>
        </w:rPr>
      </w:pPr>
    </w:p>
    <w:p w14:paraId="48AE95B8" w14:textId="77777777" w:rsidR="00FA1C41" w:rsidRPr="00FA1C41" w:rsidRDefault="00FA1C41" w:rsidP="00FA1C41">
      <w:pPr>
        <w:spacing w:after="0"/>
        <w:rPr>
          <w:rFonts w:cs="Arial"/>
          <w:color w:val="auto"/>
          <w:lang w:eastAsia="en-US"/>
        </w:rPr>
      </w:pPr>
    </w:p>
    <w:p w14:paraId="6CB29C4B" w14:textId="77777777" w:rsidR="00FA1C41" w:rsidRPr="00FA1C41" w:rsidRDefault="00FA1C41" w:rsidP="00FA1C41">
      <w:pPr>
        <w:spacing w:after="0"/>
        <w:rPr>
          <w:rFonts w:cs="Arial"/>
          <w:color w:val="auto"/>
          <w:lang w:eastAsia="en-US"/>
        </w:rPr>
      </w:pPr>
    </w:p>
    <w:p w14:paraId="33BE23B2" w14:textId="77777777" w:rsidR="00127526" w:rsidRDefault="00127526" w:rsidP="00FA1C41">
      <w:pPr>
        <w:spacing w:after="0"/>
        <w:rPr>
          <w:rFonts w:cs="Arial"/>
          <w:color w:val="auto"/>
          <w:lang w:eastAsia="en-US"/>
        </w:rPr>
      </w:pPr>
    </w:p>
    <w:p w14:paraId="206C3291" w14:textId="77777777" w:rsidR="00127526" w:rsidRDefault="00127526" w:rsidP="00FA1C41">
      <w:pPr>
        <w:spacing w:after="0"/>
        <w:rPr>
          <w:rFonts w:cs="Arial"/>
          <w:color w:val="auto"/>
          <w:lang w:eastAsia="en-US"/>
        </w:rPr>
      </w:pPr>
    </w:p>
    <w:p w14:paraId="71DCA26A" w14:textId="77777777" w:rsidR="00127526" w:rsidRDefault="00127526" w:rsidP="00FA1C41">
      <w:pPr>
        <w:spacing w:after="0"/>
        <w:rPr>
          <w:rFonts w:cs="Arial"/>
          <w:color w:val="auto"/>
          <w:lang w:eastAsia="en-US"/>
        </w:rPr>
      </w:pPr>
    </w:p>
    <w:p w14:paraId="384FB01F" w14:textId="77777777" w:rsidR="00127526" w:rsidRDefault="00127526" w:rsidP="00FA1C41">
      <w:pPr>
        <w:spacing w:after="0"/>
        <w:rPr>
          <w:rFonts w:cs="Arial"/>
          <w:color w:val="auto"/>
          <w:lang w:eastAsia="en-US"/>
        </w:rPr>
      </w:pPr>
    </w:p>
    <w:p w14:paraId="7246FA6C" w14:textId="2801F274" w:rsidR="009B677A" w:rsidRDefault="009B677A" w:rsidP="009B677A">
      <w:pPr>
        <w:rPr>
          <w:rFonts w:cs="Arial"/>
          <w:color w:val="auto"/>
          <w:lang w:eastAsia="en-US"/>
        </w:rPr>
      </w:pPr>
      <w:r>
        <w:rPr>
          <w:rFonts w:cs="Arial"/>
          <w:color w:val="auto"/>
          <w:lang w:eastAsia="en-US"/>
        </w:rPr>
        <w:br w:type="page"/>
      </w:r>
    </w:p>
    <w:p w14:paraId="115DE2FC" w14:textId="77777777" w:rsidR="00127526" w:rsidRDefault="00127526" w:rsidP="00FA1C41">
      <w:pPr>
        <w:spacing w:after="0"/>
        <w:rPr>
          <w:rFonts w:cs="Arial"/>
          <w:color w:val="auto"/>
          <w:lang w:eastAsia="en-US"/>
        </w:rPr>
      </w:pPr>
    </w:p>
    <w:p w14:paraId="59D9937E" w14:textId="77777777" w:rsidR="00127526" w:rsidRPr="009B677A" w:rsidRDefault="00127526" w:rsidP="00127526">
      <w:pPr>
        <w:spacing w:after="0"/>
        <w:jc w:val="right"/>
        <w:rPr>
          <w:rFonts w:cs="Arial"/>
          <w:b/>
          <w:color w:val="auto"/>
          <w:sz w:val="28"/>
          <w:szCs w:val="28"/>
          <w:lang w:eastAsia="en-US"/>
        </w:rPr>
      </w:pPr>
      <w:r w:rsidRPr="009B677A">
        <w:rPr>
          <w:rFonts w:cs="Arial"/>
          <w:b/>
          <w:color w:val="auto"/>
          <w:sz w:val="28"/>
          <w:szCs w:val="28"/>
          <w:lang w:eastAsia="en-US"/>
        </w:rPr>
        <w:t>Appendix 4</w:t>
      </w:r>
    </w:p>
    <w:p w14:paraId="2EA675FF" w14:textId="77777777" w:rsidR="009B677A" w:rsidRDefault="009B677A" w:rsidP="00127526">
      <w:pPr>
        <w:spacing w:after="0"/>
        <w:jc w:val="right"/>
        <w:rPr>
          <w:rFonts w:cs="Arial"/>
          <w:color w:val="auto"/>
          <w:lang w:eastAsia="en-US"/>
        </w:rPr>
      </w:pPr>
    </w:p>
    <w:p w14:paraId="0AFC4096" w14:textId="77777777" w:rsidR="00127526" w:rsidRDefault="00127526" w:rsidP="009B677A">
      <w:pPr>
        <w:spacing w:after="0"/>
        <w:rPr>
          <w:rFonts w:cs="Arial"/>
          <w:color w:val="auto"/>
          <w:lang w:eastAsia="en-US"/>
        </w:rPr>
      </w:pPr>
      <w:r>
        <w:rPr>
          <w:rFonts w:cs="Arial"/>
          <w:color w:val="auto"/>
          <w:lang w:eastAsia="en-US"/>
        </w:rPr>
        <w:t>Glossary of Terms</w:t>
      </w:r>
    </w:p>
    <w:p w14:paraId="0A467EFB" w14:textId="77777777" w:rsidR="00127526" w:rsidRDefault="00127526" w:rsidP="00127526">
      <w:pPr>
        <w:spacing w:after="0"/>
        <w:jc w:val="right"/>
        <w:rPr>
          <w:rFonts w:cs="Arial"/>
          <w:color w:val="auto"/>
          <w:lang w:eastAsia="en-US"/>
        </w:rPr>
      </w:pPr>
    </w:p>
    <w:tbl>
      <w:tblPr>
        <w:tblStyle w:val="TableGrid"/>
        <w:tblW w:w="0" w:type="auto"/>
        <w:tblLook w:val="04A0" w:firstRow="1" w:lastRow="0" w:firstColumn="1" w:lastColumn="0" w:noHBand="0" w:noVBand="1"/>
      </w:tblPr>
      <w:tblGrid>
        <w:gridCol w:w="2689"/>
        <w:gridCol w:w="6327"/>
      </w:tblGrid>
      <w:tr w:rsidR="00127526" w14:paraId="3F8A3F79" w14:textId="77777777" w:rsidTr="00127526">
        <w:tc>
          <w:tcPr>
            <w:tcW w:w="2689" w:type="dxa"/>
          </w:tcPr>
          <w:p w14:paraId="4D821768" w14:textId="77777777" w:rsidR="00127526" w:rsidRPr="00C0645A" w:rsidRDefault="00127526" w:rsidP="00127526">
            <w:pPr>
              <w:rPr>
                <w:rFonts w:cs="Arial"/>
              </w:rPr>
            </w:pPr>
            <w:r w:rsidRPr="00C0645A">
              <w:rPr>
                <w:rFonts w:cs="Arial"/>
              </w:rPr>
              <w:t>Working Age</w:t>
            </w:r>
          </w:p>
        </w:tc>
        <w:tc>
          <w:tcPr>
            <w:tcW w:w="6327" w:type="dxa"/>
          </w:tcPr>
          <w:p w14:paraId="12C8E1C7" w14:textId="77777777" w:rsidR="00127526" w:rsidRPr="00C0645A" w:rsidRDefault="00127526" w:rsidP="00127526">
            <w:pPr>
              <w:rPr>
                <w:rFonts w:cs="Arial"/>
              </w:rPr>
            </w:pPr>
            <w:r>
              <w:rPr>
                <w:rFonts w:cs="Arial"/>
              </w:rPr>
              <w:t>Age for</w:t>
            </w:r>
            <w:r w:rsidRPr="00C0645A">
              <w:rPr>
                <w:rFonts w:cs="Arial"/>
              </w:rPr>
              <w:t xml:space="preserve"> which the Government expect State Pension </w:t>
            </w:r>
            <w:r>
              <w:rPr>
                <w:rFonts w:cs="Arial"/>
              </w:rPr>
              <w:t>to not</w:t>
            </w:r>
            <w:r w:rsidRPr="00C0645A">
              <w:rPr>
                <w:rFonts w:cs="Arial"/>
              </w:rPr>
              <w:t xml:space="preserve"> be claimed.  Currently 18-65 for women and 18-66 for men.</w:t>
            </w:r>
          </w:p>
        </w:tc>
      </w:tr>
      <w:tr w:rsidR="00127526" w14:paraId="4B4BA887" w14:textId="77777777" w:rsidTr="00127526">
        <w:tc>
          <w:tcPr>
            <w:tcW w:w="2689" w:type="dxa"/>
          </w:tcPr>
          <w:p w14:paraId="35B1D6EE" w14:textId="77777777" w:rsidR="00127526" w:rsidRPr="00C0645A" w:rsidRDefault="00127526" w:rsidP="00127526">
            <w:pPr>
              <w:rPr>
                <w:rFonts w:cs="Arial"/>
              </w:rPr>
            </w:pPr>
            <w:r w:rsidRPr="00C0645A">
              <w:rPr>
                <w:rFonts w:cs="Arial"/>
              </w:rPr>
              <w:t>Uprating</w:t>
            </w:r>
          </w:p>
        </w:tc>
        <w:tc>
          <w:tcPr>
            <w:tcW w:w="6327" w:type="dxa"/>
          </w:tcPr>
          <w:p w14:paraId="028F375D" w14:textId="77777777" w:rsidR="00127526" w:rsidRPr="00C0645A" w:rsidRDefault="00127526" w:rsidP="00D06E45">
            <w:pPr>
              <w:rPr>
                <w:rFonts w:cs="Arial"/>
              </w:rPr>
            </w:pPr>
            <w:r>
              <w:rPr>
                <w:rFonts w:cs="Arial"/>
              </w:rPr>
              <w:t>Department for Work and Pensions</w:t>
            </w:r>
            <w:r w:rsidRPr="00C0645A">
              <w:rPr>
                <w:rFonts w:cs="Arial"/>
              </w:rPr>
              <w:t xml:space="preserve"> </w:t>
            </w:r>
            <w:r>
              <w:rPr>
                <w:rFonts w:cs="Arial"/>
              </w:rPr>
              <w:t>a</w:t>
            </w:r>
            <w:r w:rsidRPr="00C0645A">
              <w:rPr>
                <w:rFonts w:cs="Arial"/>
              </w:rPr>
              <w:t xml:space="preserve">nnual </w:t>
            </w:r>
            <w:r>
              <w:rPr>
                <w:rFonts w:cs="Arial"/>
              </w:rPr>
              <w:t xml:space="preserve">income-related social security benefit </w:t>
            </w:r>
            <w:r w:rsidRPr="00C0645A">
              <w:rPr>
                <w:rFonts w:cs="Arial"/>
              </w:rPr>
              <w:t>increase</w:t>
            </w:r>
            <w:r>
              <w:rPr>
                <w:rFonts w:cs="Arial"/>
              </w:rPr>
              <w:t>s each</w:t>
            </w:r>
            <w:r w:rsidRPr="00C0645A">
              <w:rPr>
                <w:rFonts w:cs="Arial"/>
              </w:rPr>
              <w:t xml:space="preserve"> Apri</w:t>
            </w:r>
            <w:r>
              <w:rPr>
                <w:rFonts w:cs="Arial"/>
              </w:rPr>
              <w:t>l</w:t>
            </w:r>
            <w:r w:rsidRPr="00C0645A">
              <w:rPr>
                <w:rFonts w:cs="Arial"/>
              </w:rPr>
              <w:t xml:space="preserve">.  </w:t>
            </w:r>
            <w:r>
              <w:rPr>
                <w:rFonts w:cs="Arial"/>
              </w:rPr>
              <w:t xml:space="preserve">These benefits, </w:t>
            </w:r>
            <w:r w:rsidRPr="00C0645A">
              <w:rPr>
                <w:rFonts w:cs="Arial"/>
              </w:rPr>
              <w:t xml:space="preserve">and the amount which the government state is required to live </w:t>
            </w:r>
            <w:r>
              <w:rPr>
                <w:rFonts w:cs="Arial"/>
              </w:rPr>
              <w:t xml:space="preserve">on each week </w:t>
            </w:r>
            <w:r w:rsidRPr="00C0645A">
              <w:rPr>
                <w:rFonts w:cs="Arial"/>
              </w:rPr>
              <w:t>are increase</w:t>
            </w:r>
            <w:r w:rsidR="00D06E45">
              <w:rPr>
                <w:rFonts w:cs="Arial"/>
              </w:rPr>
              <w:t>d each April by a percentage.  Since 2011, t</w:t>
            </w:r>
            <w:r w:rsidRPr="00C0645A">
              <w:rPr>
                <w:rFonts w:cs="Arial"/>
              </w:rPr>
              <w:t xml:space="preserve">he increase is </w:t>
            </w:r>
            <w:r w:rsidR="00D06E45">
              <w:rPr>
                <w:rFonts w:cs="Arial"/>
              </w:rPr>
              <w:t>based on the Co</w:t>
            </w:r>
            <w:r>
              <w:rPr>
                <w:rFonts w:cs="Arial"/>
              </w:rPr>
              <w:t xml:space="preserve">nsumer </w:t>
            </w:r>
            <w:r w:rsidRPr="00C0645A">
              <w:rPr>
                <w:rFonts w:cs="Arial"/>
              </w:rPr>
              <w:t>P</w:t>
            </w:r>
            <w:r>
              <w:rPr>
                <w:rFonts w:cs="Arial"/>
              </w:rPr>
              <w:t xml:space="preserve">rice </w:t>
            </w:r>
            <w:r w:rsidRPr="00C0645A">
              <w:rPr>
                <w:rFonts w:cs="Arial"/>
              </w:rPr>
              <w:t>I</w:t>
            </w:r>
            <w:r>
              <w:rPr>
                <w:rFonts w:cs="Arial"/>
              </w:rPr>
              <w:t>ndex (CPI)</w:t>
            </w:r>
            <w:r w:rsidRPr="00C0645A">
              <w:rPr>
                <w:rFonts w:cs="Arial"/>
              </w:rPr>
              <w:t xml:space="preserve"> as at September the </w:t>
            </w:r>
            <w:r>
              <w:rPr>
                <w:rFonts w:cs="Arial"/>
              </w:rPr>
              <w:t>previous year</w:t>
            </w:r>
            <w:r w:rsidRPr="00C0645A">
              <w:rPr>
                <w:rFonts w:cs="Arial"/>
              </w:rPr>
              <w:t>.</w:t>
            </w:r>
          </w:p>
        </w:tc>
      </w:tr>
      <w:tr w:rsidR="00127526" w14:paraId="3ECE0EFC" w14:textId="77777777" w:rsidTr="00127526">
        <w:tc>
          <w:tcPr>
            <w:tcW w:w="2689" w:type="dxa"/>
          </w:tcPr>
          <w:p w14:paraId="308D104C" w14:textId="77777777" w:rsidR="00127526" w:rsidRPr="00C0645A" w:rsidRDefault="00127526" w:rsidP="00127526">
            <w:pPr>
              <w:rPr>
                <w:rFonts w:cs="Arial"/>
              </w:rPr>
            </w:pPr>
            <w:r w:rsidRPr="00C0645A">
              <w:rPr>
                <w:rFonts w:cs="Arial"/>
              </w:rPr>
              <w:t>Income Bands</w:t>
            </w:r>
          </w:p>
        </w:tc>
        <w:tc>
          <w:tcPr>
            <w:tcW w:w="6327" w:type="dxa"/>
          </w:tcPr>
          <w:p w14:paraId="2EB70881" w14:textId="77777777" w:rsidR="00127526" w:rsidRPr="00C0645A" w:rsidRDefault="00127526" w:rsidP="00127526">
            <w:pPr>
              <w:rPr>
                <w:rFonts w:cs="Arial"/>
              </w:rPr>
            </w:pPr>
            <w:r>
              <w:rPr>
                <w:rFonts w:cs="Arial"/>
              </w:rPr>
              <w:t>The amount of w</w:t>
            </w:r>
            <w:r w:rsidRPr="00C0645A">
              <w:rPr>
                <w:rFonts w:cs="Arial"/>
              </w:rPr>
              <w:t>eekly net income used in the calculation of the award.  Some income is not included</w:t>
            </w:r>
            <w:r>
              <w:rPr>
                <w:rFonts w:cs="Arial"/>
              </w:rPr>
              <w:t>,</w:t>
            </w:r>
            <w:r w:rsidRPr="00C0645A">
              <w:rPr>
                <w:rFonts w:cs="Arial"/>
              </w:rPr>
              <w:t xml:space="preserve"> such as </w:t>
            </w:r>
            <w:r>
              <w:rPr>
                <w:rFonts w:cs="Arial"/>
              </w:rPr>
              <w:t xml:space="preserve">certain </w:t>
            </w:r>
            <w:r w:rsidRPr="00C0645A">
              <w:rPr>
                <w:rFonts w:cs="Arial"/>
              </w:rPr>
              <w:t>disability benefits.  Where income changes but stays within the same band, then there is no change to entitlement, but the change is still recorded.</w:t>
            </w:r>
          </w:p>
        </w:tc>
      </w:tr>
      <w:tr w:rsidR="00127526" w14:paraId="6498083B" w14:textId="77777777" w:rsidTr="00127526">
        <w:tc>
          <w:tcPr>
            <w:tcW w:w="2689" w:type="dxa"/>
          </w:tcPr>
          <w:p w14:paraId="0221B663" w14:textId="77777777" w:rsidR="00127526" w:rsidRPr="00C0645A" w:rsidRDefault="00127526" w:rsidP="00127526">
            <w:pPr>
              <w:rPr>
                <w:rFonts w:cs="Arial"/>
              </w:rPr>
            </w:pPr>
            <w:r w:rsidRPr="00C0645A">
              <w:rPr>
                <w:rFonts w:cs="Arial"/>
              </w:rPr>
              <w:t>Capping</w:t>
            </w:r>
          </w:p>
        </w:tc>
        <w:tc>
          <w:tcPr>
            <w:tcW w:w="6327" w:type="dxa"/>
          </w:tcPr>
          <w:p w14:paraId="625EA976" w14:textId="77777777" w:rsidR="00127526" w:rsidRPr="00C0645A" w:rsidRDefault="00127526" w:rsidP="00127526">
            <w:pPr>
              <w:rPr>
                <w:rFonts w:cs="Arial"/>
              </w:rPr>
            </w:pPr>
            <w:r w:rsidRPr="00C0645A">
              <w:rPr>
                <w:rFonts w:cs="Arial"/>
              </w:rPr>
              <w:t xml:space="preserve">This is a ceiling </w:t>
            </w:r>
            <w:r>
              <w:rPr>
                <w:rFonts w:cs="Arial"/>
              </w:rPr>
              <w:t>limit on an award. A</w:t>
            </w:r>
            <w:r w:rsidRPr="00C0645A">
              <w:rPr>
                <w:rFonts w:cs="Arial"/>
              </w:rPr>
              <w:t xml:space="preserve"> cap</w:t>
            </w:r>
            <w:r>
              <w:rPr>
                <w:rFonts w:cs="Arial"/>
              </w:rPr>
              <w:t>ping level could be applied to the</w:t>
            </w:r>
            <w:r w:rsidRPr="00C0645A">
              <w:rPr>
                <w:rFonts w:cs="Arial"/>
              </w:rPr>
              <w:t xml:space="preserve"> council tax band</w:t>
            </w:r>
            <w:r>
              <w:rPr>
                <w:rFonts w:cs="Arial"/>
              </w:rPr>
              <w:t>s</w:t>
            </w:r>
            <w:r w:rsidRPr="00C0645A">
              <w:rPr>
                <w:rFonts w:cs="Arial"/>
              </w:rPr>
              <w:t xml:space="preserve">, </w:t>
            </w:r>
            <w:r>
              <w:rPr>
                <w:rFonts w:cs="Arial"/>
              </w:rPr>
              <w:t>so instead of applying Council Tax Reduction (CTR) using</w:t>
            </w:r>
            <w:r w:rsidRPr="00C0645A">
              <w:rPr>
                <w:rFonts w:cs="Arial"/>
              </w:rPr>
              <w:t xml:space="preserve"> all </w:t>
            </w:r>
            <w:r>
              <w:rPr>
                <w:rFonts w:cs="Arial"/>
              </w:rPr>
              <w:t xml:space="preserve">the council tax bands </w:t>
            </w:r>
            <w:r w:rsidRPr="00C0645A">
              <w:rPr>
                <w:rFonts w:cs="Arial"/>
              </w:rPr>
              <w:t xml:space="preserve">A-H, that only </w:t>
            </w:r>
            <w:r>
              <w:rPr>
                <w:rFonts w:cs="Arial"/>
              </w:rPr>
              <w:t>bands A-E are</w:t>
            </w:r>
            <w:r w:rsidRPr="00C0645A">
              <w:rPr>
                <w:rFonts w:cs="Arial"/>
              </w:rPr>
              <w:t xml:space="preserve"> applied.  This means that the capping level is </w:t>
            </w:r>
            <w:r>
              <w:rPr>
                <w:rFonts w:cs="Arial"/>
              </w:rPr>
              <w:t xml:space="preserve">at a </w:t>
            </w:r>
            <w:r w:rsidRPr="00C0645A">
              <w:rPr>
                <w:rFonts w:cs="Arial"/>
              </w:rPr>
              <w:t xml:space="preserve">band E </w:t>
            </w:r>
            <w:r>
              <w:rPr>
                <w:rFonts w:cs="Arial"/>
              </w:rPr>
              <w:t xml:space="preserve">Council Tax amount, </w:t>
            </w:r>
            <w:r w:rsidRPr="00C0645A">
              <w:rPr>
                <w:rFonts w:cs="Arial"/>
              </w:rPr>
              <w:t xml:space="preserve">and </w:t>
            </w:r>
            <w:r>
              <w:rPr>
                <w:rFonts w:cs="Arial"/>
              </w:rPr>
              <w:t xml:space="preserve">those claims for </w:t>
            </w:r>
            <w:r w:rsidRPr="00C0645A">
              <w:rPr>
                <w:rFonts w:cs="Arial"/>
              </w:rPr>
              <w:t xml:space="preserve">properties </w:t>
            </w:r>
            <w:r>
              <w:rPr>
                <w:rFonts w:cs="Arial"/>
              </w:rPr>
              <w:t xml:space="preserve">in Bands F-H </w:t>
            </w:r>
            <w:r w:rsidRPr="00C0645A">
              <w:rPr>
                <w:rFonts w:cs="Arial"/>
              </w:rPr>
              <w:t>would only see a maximum level of support to a band E Council Tax liability</w:t>
            </w:r>
            <w:r>
              <w:rPr>
                <w:rFonts w:cs="Arial"/>
              </w:rPr>
              <w:t>. The claimant</w:t>
            </w:r>
            <w:r w:rsidRPr="00C0645A">
              <w:rPr>
                <w:rFonts w:cs="Arial"/>
              </w:rPr>
              <w:t xml:space="preserve"> would need to </w:t>
            </w:r>
            <w:r>
              <w:rPr>
                <w:rFonts w:cs="Arial"/>
              </w:rPr>
              <w:t>pay the difference between their</w:t>
            </w:r>
            <w:r w:rsidRPr="00C0645A">
              <w:rPr>
                <w:rFonts w:cs="Arial"/>
              </w:rPr>
              <w:t xml:space="preserve"> CTR award and their Council Tax liability.</w:t>
            </w:r>
          </w:p>
        </w:tc>
      </w:tr>
      <w:tr w:rsidR="00127526" w14:paraId="35012C59" w14:textId="77777777" w:rsidTr="00127526">
        <w:tc>
          <w:tcPr>
            <w:tcW w:w="2689" w:type="dxa"/>
          </w:tcPr>
          <w:p w14:paraId="3780B3A6" w14:textId="77777777" w:rsidR="00127526" w:rsidRPr="00C0645A" w:rsidRDefault="00127526" w:rsidP="00127526">
            <w:pPr>
              <w:rPr>
                <w:rFonts w:cs="Arial"/>
              </w:rPr>
            </w:pPr>
            <w:r>
              <w:rPr>
                <w:rFonts w:cs="Arial"/>
              </w:rPr>
              <w:t>National Minimum Wage</w:t>
            </w:r>
          </w:p>
        </w:tc>
        <w:tc>
          <w:tcPr>
            <w:tcW w:w="6327" w:type="dxa"/>
          </w:tcPr>
          <w:p w14:paraId="5F78B694" w14:textId="77777777" w:rsidR="00127526" w:rsidRPr="006962AB" w:rsidRDefault="00127526" w:rsidP="00127526">
            <w:pPr>
              <w:rPr>
                <w:rFonts w:cs="Arial"/>
              </w:rPr>
            </w:pPr>
            <w:r>
              <w:rPr>
                <w:rFonts w:cs="Arial"/>
              </w:rPr>
              <w:t>For 2021/22 the rate is</w:t>
            </w:r>
            <w:r w:rsidRPr="00C0645A">
              <w:rPr>
                <w:rFonts w:cs="Arial"/>
                <w:color w:val="0B0C0C"/>
                <w:szCs w:val="29"/>
              </w:rPr>
              <w:t xml:space="preserve"> £8.91</w:t>
            </w:r>
          </w:p>
        </w:tc>
      </w:tr>
      <w:tr w:rsidR="00127526" w14:paraId="302941E1" w14:textId="77777777" w:rsidTr="00127526">
        <w:tc>
          <w:tcPr>
            <w:tcW w:w="2689" w:type="dxa"/>
          </w:tcPr>
          <w:p w14:paraId="090F3158" w14:textId="77777777" w:rsidR="00127526" w:rsidRDefault="00127526" w:rsidP="00127526">
            <w:pPr>
              <w:rPr>
                <w:rFonts w:cs="Arial"/>
              </w:rPr>
            </w:pPr>
            <w:r>
              <w:rPr>
                <w:rFonts w:cs="Arial"/>
              </w:rPr>
              <w:t>Oxford Living Wage</w:t>
            </w:r>
          </w:p>
        </w:tc>
        <w:tc>
          <w:tcPr>
            <w:tcW w:w="6327" w:type="dxa"/>
          </w:tcPr>
          <w:p w14:paraId="26E4BCBC" w14:textId="77777777" w:rsidR="00127526" w:rsidRPr="00C0645A" w:rsidRDefault="00127526" w:rsidP="00127526">
            <w:pPr>
              <w:rPr>
                <w:rFonts w:cs="Arial"/>
              </w:rPr>
            </w:pPr>
            <w:r>
              <w:rPr>
                <w:rFonts w:cs="Arial"/>
              </w:rPr>
              <w:t>For 2021/22 the rate is £10.31</w:t>
            </w:r>
          </w:p>
        </w:tc>
      </w:tr>
      <w:tr w:rsidR="00127526" w14:paraId="39C12A4F" w14:textId="77777777" w:rsidTr="00127526">
        <w:tc>
          <w:tcPr>
            <w:tcW w:w="2689" w:type="dxa"/>
          </w:tcPr>
          <w:p w14:paraId="39D11673" w14:textId="77777777" w:rsidR="00127526" w:rsidRDefault="00127526" w:rsidP="00127526">
            <w:pPr>
              <w:rPr>
                <w:rFonts w:cs="Arial"/>
              </w:rPr>
            </w:pPr>
            <w:r>
              <w:rPr>
                <w:rFonts w:cs="Arial"/>
              </w:rPr>
              <w:t>Benefit Cap</w:t>
            </w:r>
          </w:p>
        </w:tc>
        <w:tc>
          <w:tcPr>
            <w:tcW w:w="6327" w:type="dxa"/>
          </w:tcPr>
          <w:p w14:paraId="25571F15" w14:textId="77777777" w:rsidR="00127526" w:rsidRPr="00DE2CB1" w:rsidRDefault="00127526" w:rsidP="00127526">
            <w:pPr>
              <w:rPr>
                <w:rFonts w:cs="Arial"/>
              </w:rPr>
            </w:pPr>
            <w:r w:rsidRPr="00DE2CB1">
              <w:rPr>
                <w:rFonts w:cs="Arial"/>
                <w:shd w:val="clear" w:color="auto" w:fill="FFFFFF"/>
              </w:rPr>
              <w:t>The </w:t>
            </w:r>
            <w:r w:rsidRPr="00DE2CB1">
              <w:rPr>
                <w:rStyle w:val="Emphasis"/>
                <w:rFonts w:cs="Arial"/>
                <w:bCs/>
                <w:shd w:val="clear" w:color="auto" w:fill="FFFFFF"/>
              </w:rPr>
              <w:t>benefit cap</w:t>
            </w:r>
            <w:r w:rsidRPr="00DE2CB1">
              <w:rPr>
                <w:rFonts w:cs="Arial"/>
                <w:shd w:val="clear" w:color="auto" w:fill="FFFFFF"/>
              </w:rPr>
              <w:t> is a limit on the total amount of </w:t>
            </w:r>
            <w:r w:rsidRPr="00DE2CB1">
              <w:rPr>
                <w:rStyle w:val="Emphasis"/>
                <w:rFonts w:cs="Arial"/>
                <w:bCs/>
                <w:shd w:val="clear" w:color="auto" w:fill="FFFFFF"/>
              </w:rPr>
              <w:t>benefit</w:t>
            </w:r>
            <w:r w:rsidRPr="00DE2CB1">
              <w:rPr>
                <w:rFonts w:cs="Arial"/>
                <w:shd w:val="clear" w:color="auto" w:fill="FFFFFF"/>
              </w:rPr>
              <w:t> you can get. It applies to most people aged 16 or over who have not reached State Pension</w:t>
            </w:r>
            <w:r>
              <w:rPr>
                <w:rFonts w:cs="Arial"/>
                <w:shd w:val="clear" w:color="auto" w:fill="FFFFFF"/>
              </w:rPr>
              <w:t xml:space="preserve"> Age</w:t>
            </w:r>
            <w:r w:rsidRPr="00DE2CB1">
              <w:rPr>
                <w:rFonts w:cs="Arial"/>
                <w:shd w:val="clear" w:color="auto" w:fill="FFFFFF"/>
              </w:rPr>
              <w:t xml:space="preserve">. </w:t>
            </w:r>
            <w:r w:rsidRPr="00DE2CB1">
              <w:rPr>
                <w:rFonts w:cs="Arial"/>
              </w:rPr>
              <w:t>A cap is usually applied when a claimant is not in employment for more than 16 hours per week, and is not exempt by disability.</w:t>
            </w:r>
          </w:p>
          <w:p w14:paraId="1A503249" w14:textId="77777777" w:rsidR="00127526" w:rsidRDefault="00127526" w:rsidP="00127526">
            <w:pPr>
              <w:rPr>
                <w:rFonts w:cs="Arial"/>
              </w:rPr>
            </w:pPr>
          </w:p>
          <w:p w14:paraId="11A5E334" w14:textId="77777777" w:rsidR="00127526" w:rsidRDefault="00127526" w:rsidP="00127526">
            <w:pPr>
              <w:rPr>
                <w:rFonts w:cs="Arial"/>
              </w:rPr>
            </w:pPr>
            <w:r>
              <w:rPr>
                <w:rFonts w:cs="Arial"/>
              </w:rPr>
              <w:t>The Cap level currently for outer London is:</w:t>
            </w:r>
          </w:p>
          <w:p w14:paraId="2409FCB6" w14:textId="77777777" w:rsidR="00127526" w:rsidRPr="006962AB" w:rsidRDefault="00127526" w:rsidP="00127526">
            <w:pPr>
              <w:numPr>
                <w:ilvl w:val="0"/>
                <w:numId w:val="38"/>
              </w:numPr>
              <w:shd w:val="clear" w:color="auto" w:fill="FFFFFF"/>
              <w:spacing w:after="75"/>
              <w:ind w:left="300"/>
              <w:rPr>
                <w:rFonts w:cs="Arial"/>
                <w:color w:val="0B0C0C"/>
                <w:szCs w:val="29"/>
              </w:rPr>
            </w:pPr>
            <w:r w:rsidRPr="006962AB">
              <w:rPr>
                <w:rFonts w:cs="Arial"/>
                <w:color w:val="0B0C0C"/>
                <w:szCs w:val="29"/>
              </w:rPr>
              <w:t>£384.62 per we</w:t>
            </w:r>
            <w:r>
              <w:rPr>
                <w:rFonts w:cs="Arial"/>
                <w:color w:val="0B0C0C"/>
                <w:szCs w:val="29"/>
              </w:rPr>
              <w:t>ek (£20,000 a year) if you are</w:t>
            </w:r>
            <w:r w:rsidRPr="006962AB">
              <w:rPr>
                <w:rFonts w:cs="Arial"/>
                <w:color w:val="0B0C0C"/>
                <w:szCs w:val="29"/>
              </w:rPr>
              <w:t xml:space="preserve"> a couple</w:t>
            </w:r>
          </w:p>
          <w:p w14:paraId="2E309C26" w14:textId="77777777" w:rsidR="00127526" w:rsidRPr="006962AB" w:rsidRDefault="00127526" w:rsidP="00127526">
            <w:pPr>
              <w:numPr>
                <w:ilvl w:val="0"/>
                <w:numId w:val="38"/>
              </w:numPr>
              <w:shd w:val="clear" w:color="auto" w:fill="FFFFFF"/>
              <w:spacing w:after="75"/>
              <w:ind w:left="300"/>
              <w:rPr>
                <w:rFonts w:cs="Arial"/>
                <w:color w:val="0B0C0C"/>
                <w:szCs w:val="29"/>
              </w:rPr>
            </w:pPr>
            <w:r w:rsidRPr="006962AB">
              <w:rPr>
                <w:rFonts w:cs="Arial"/>
                <w:color w:val="0B0C0C"/>
                <w:szCs w:val="29"/>
              </w:rPr>
              <w:t>£384.62 per</w:t>
            </w:r>
            <w:r>
              <w:rPr>
                <w:rFonts w:cs="Arial"/>
                <w:color w:val="0B0C0C"/>
                <w:szCs w:val="29"/>
              </w:rPr>
              <w:t xml:space="preserve"> week (£20,000 a year) if you are</w:t>
            </w:r>
            <w:r w:rsidRPr="006962AB">
              <w:rPr>
                <w:rFonts w:cs="Arial"/>
                <w:color w:val="0B0C0C"/>
                <w:szCs w:val="29"/>
              </w:rPr>
              <w:t xml:space="preserve"> a single parent and your children live with you</w:t>
            </w:r>
          </w:p>
          <w:p w14:paraId="19E322F7" w14:textId="77777777" w:rsidR="00127526" w:rsidRPr="006962AB" w:rsidRDefault="00127526" w:rsidP="00127526">
            <w:pPr>
              <w:numPr>
                <w:ilvl w:val="0"/>
                <w:numId w:val="38"/>
              </w:numPr>
              <w:shd w:val="clear" w:color="auto" w:fill="FFFFFF"/>
              <w:spacing w:after="75"/>
              <w:ind w:left="300"/>
              <w:rPr>
                <w:rFonts w:cs="Arial"/>
                <w:color w:val="0B0C0C"/>
                <w:szCs w:val="29"/>
              </w:rPr>
            </w:pPr>
            <w:r w:rsidRPr="006962AB">
              <w:rPr>
                <w:rFonts w:cs="Arial"/>
                <w:color w:val="0B0C0C"/>
                <w:szCs w:val="29"/>
              </w:rPr>
              <w:t>£257.69 p</w:t>
            </w:r>
            <w:r>
              <w:rPr>
                <w:rFonts w:cs="Arial"/>
                <w:color w:val="0B0C0C"/>
                <w:szCs w:val="29"/>
              </w:rPr>
              <w:t>er week (£13,400 a year) if you a</w:t>
            </w:r>
            <w:r w:rsidRPr="006962AB">
              <w:rPr>
                <w:rFonts w:cs="Arial"/>
                <w:color w:val="0B0C0C"/>
                <w:szCs w:val="29"/>
              </w:rPr>
              <w:t>re a single adult</w:t>
            </w:r>
          </w:p>
        </w:tc>
      </w:tr>
      <w:tr w:rsidR="00D06E45" w14:paraId="47EFED90" w14:textId="77777777" w:rsidTr="00127526">
        <w:tc>
          <w:tcPr>
            <w:tcW w:w="2689" w:type="dxa"/>
          </w:tcPr>
          <w:p w14:paraId="4280E49A" w14:textId="77777777" w:rsidR="00D06E45" w:rsidRDefault="00D06E45" w:rsidP="00127526">
            <w:pPr>
              <w:rPr>
                <w:rFonts w:cs="Arial"/>
              </w:rPr>
            </w:pPr>
            <w:r>
              <w:rPr>
                <w:rFonts w:cs="Arial"/>
              </w:rPr>
              <w:lastRenderedPageBreak/>
              <w:t>Non-dependant</w:t>
            </w:r>
          </w:p>
        </w:tc>
        <w:tc>
          <w:tcPr>
            <w:tcW w:w="6327" w:type="dxa"/>
          </w:tcPr>
          <w:p w14:paraId="65CEC1DB" w14:textId="77777777" w:rsidR="00D06E45" w:rsidRPr="00DE2CB1" w:rsidRDefault="00D06E45" w:rsidP="00127526">
            <w:pPr>
              <w:rPr>
                <w:rFonts w:cs="Arial"/>
                <w:shd w:val="clear" w:color="auto" w:fill="FFFFFF"/>
              </w:rPr>
            </w:pPr>
            <w:r>
              <w:rPr>
                <w:rFonts w:ascii="Helvetica" w:hAnsi="Helvetica"/>
                <w:shd w:val="clear" w:color="auto" w:fill="FFFFFF"/>
              </w:rPr>
              <w:t>If someone else lives in your home a deduction may be made to your Council Tax Reduction (CTR) if the person is treated as a 'non-dependant'. The deduction is made on the assumption that the non-dependant should make a contribution towards your council tax of at least the amount of the deduction.</w:t>
            </w:r>
          </w:p>
        </w:tc>
      </w:tr>
    </w:tbl>
    <w:p w14:paraId="5A798294" w14:textId="77777777" w:rsidR="00127526" w:rsidRPr="00FA1C41" w:rsidRDefault="00127526" w:rsidP="00127526">
      <w:pPr>
        <w:spacing w:after="0"/>
        <w:rPr>
          <w:rFonts w:cs="Arial"/>
          <w:color w:val="auto"/>
          <w:lang w:eastAsia="en-US"/>
        </w:rPr>
      </w:pPr>
    </w:p>
    <w:sectPr w:rsidR="00127526" w:rsidRPr="00FA1C41" w:rsidSect="00D53FD5">
      <w:headerReference w:type="first" r:id="rId29"/>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B8C5A" w14:textId="77777777" w:rsidR="00DA2AF3" w:rsidRDefault="00DA2AF3" w:rsidP="004A6D2F">
      <w:r>
        <w:separator/>
      </w:r>
    </w:p>
  </w:endnote>
  <w:endnote w:type="continuationSeparator" w:id="0">
    <w:p w14:paraId="52DA3189" w14:textId="77777777" w:rsidR="00DA2AF3" w:rsidRDefault="00DA2AF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Deja Vu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FA0C" w14:textId="77777777" w:rsidR="00DA2AF3" w:rsidRDefault="00DA2AF3" w:rsidP="004A6D2F">
    <w:pPr>
      <w:pStyle w:val="Footer"/>
    </w:pPr>
    <w:r>
      <w:t>Do not use a footer or page numbers.</w:t>
    </w:r>
  </w:p>
  <w:p w14:paraId="55816637" w14:textId="77777777" w:rsidR="00DA2AF3" w:rsidRDefault="00DA2AF3" w:rsidP="004A6D2F">
    <w:pPr>
      <w:pStyle w:val="Footer"/>
    </w:pPr>
  </w:p>
  <w:p w14:paraId="603B2D3C" w14:textId="77777777" w:rsidR="00DA2AF3" w:rsidRDefault="00DA2AF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F506" w14:textId="77777777" w:rsidR="00DA2AF3" w:rsidRDefault="00DA2AF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13B76" w14:textId="77777777" w:rsidR="00DA2AF3" w:rsidRDefault="00DA2AF3" w:rsidP="004A6D2F">
      <w:r>
        <w:separator/>
      </w:r>
    </w:p>
  </w:footnote>
  <w:footnote w:type="continuationSeparator" w:id="0">
    <w:p w14:paraId="78A6C20A" w14:textId="77777777" w:rsidR="00DA2AF3" w:rsidRDefault="00DA2AF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1027" w14:textId="77777777" w:rsidR="00DA2AF3" w:rsidRDefault="00DA2AF3" w:rsidP="00D5547E">
    <w:pPr>
      <w:pStyle w:val="Header"/>
      <w:jc w:val="right"/>
    </w:pPr>
    <w:r>
      <w:rPr>
        <w:noProof/>
      </w:rPr>
      <w:drawing>
        <wp:inline distT="0" distB="0" distL="0" distR="0" wp14:anchorId="35578F94" wp14:editId="7B2BF31C">
          <wp:extent cx="843280" cy="1117600"/>
          <wp:effectExtent l="0" t="0" r="0" b="6350"/>
          <wp:docPr id="3"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04CC" w14:textId="5FE25CBE" w:rsidR="009B677A" w:rsidRPr="009B677A" w:rsidRDefault="009B677A" w:rsidP="00D5547E">
    <w:pPr>
      <w:pStyle w:val="Header"/>
      <w:jc w:val="right"/>
      <w:rPr>
        <w:b/>
        <w:color w:val="auto"/>
        <w:sz w:val="28"/>
        <w:szCs w:val="28"/>
      </w:rPr>
    </w:pPr>
    <w:r w:rsidRPr="009B677A">
      <w:rPr>
        <w:b/>
        <w:color w:val="auto"/>
        <w:sz w:val="28"/>
        <w:szCs w:val="2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2BFB" w14:textId="407CFD4C" w:rsidR="009B677A" w:rsidRPr="009B677A" w:rsidRDefault="009B677A" w:rsidP="00D5547E">
    <w:pPr>
      <w:pStyle w:val="Header"/>
      <w:jc w:val="right"/>
      <w:rPr>
        <w:b/>
        <w:color w:val="auto"/>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130F7A"/>
    <w:multiLevelType w:val="hybridMultilevel"/>
    <w:tmpl w:val="BC84CA3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071604"/>
    <w:multiLevelType w:val="hybridMultilevel"/>
    <w:tmpl w:val="795E98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C535AE0"/>
    <w:multiLevelType w:val="hybridMultilevel"/>
    <w:tmpl w:val="272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C3345F"/>
    <w:multiLevelType w:val="hybridMultilevel"/>
    <w:tmpl w:val="D466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5203C"/>
    <w:multiLevelType w:val="hybridMultilevel"/>
    <w:tmpl w:val="24F67798"/>
    <w:lvl w:ilvl="0" w:tplc="11122C18">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2E25B4"/>
    <w:multiLevelType w:val="hybridMultilevel"/>
    <w:tmpl w:val="292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AA4781"/>
    <w:multiLevelType w:val="hybridMultilevel"/>
    <w:tmpl w:val="507E753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3F9E5950"/>
    <w:multiLevelType w:val="hybridMultilevel"/>
    <w:tmpl w:val="12C8D4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287946"/>
    <w:multiLevelType w:val="hybridMultilevel"/>
    <w:tmpl w:val="782A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FA1D1E"/>
    <w:multiLevelType w:val="hybridMultilevel"/>
    <w:tmpl w:val="69507F9A"/>
    <w:lvl w:ilvl="0" w:tplc="29CCC0B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4A5C53"/>
    <w:multiLevelType w:val="hybridMultilevel"/>
    <w:tmpl w:val="3E5E0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FBD494E"/>
    <w:multiLevelType w:val="multilevel"/>
    <w:tmpl w:val="005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BB10FC"/>
    <w:multiLevelType w:val="hybridMultilevel"/>
    <w:tmpl w:val="A93C0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DE158CC"/>
    <w:multiLevelType w:val="hybridMultilevel"/>
    <w:tmpl w:val="5B5657F0"/>
    <w:lvl w:ilvl="0" w:tplc="11122C18">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606541"/>
    <w:multiLevelType w:val="hybridMultilevel"/>
    <w:tmpl w:val="9626D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A120F19"/>
    <w:multiLevelType w:val="hybridMultilevel"/>
    <w:tmpl w:val="DAC8B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3258CF"/>
    <w:multiLevelType w:val="hybridMultilevel"/>
    <w:tmpl w:val="7008470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6B96D73"/>
    <w:multiLevelType w:val="hybridMultilevel"/>
    <w:tmpl w:val="24A884E0"/>
    <w:lvl w:ilvl="0" w:tplc="08090003">
      <w:start w:val="1"/>
      <w:numFmt w:val="bullet"/>
      <w:lvlText w:val="o"/>
      <w:lvlJc w:val="left"/>
      <w:pPr>
        <w:ind w:left="1147" w:hanging="360"/>
      </w:pPr>
      <w:rPr>
        <w:rFonts w:ascii="Courier New" w:hAnsi="Courier New" w:cs="Courier New" w:hint="default"/>
      </w:rPr>
    </w:lvl>
    <w:lvl w:ilvl="1" w:tplc="08090003">
      <w:start w:val="1"/>
      <w:numFmt w:val="bullet"/>
      <w:lvlText w:val="o"/>
      <w:lvlJc w:val="left"/>
      <w:pPr>
        <w:ind w:left="1867" w:hanging="360"/>
      </w:pPr>
      <w:rPr>
        <w:rFonts w:ascii="Courier New" w:hAnsi="Courier New" w:cs="Courier New" w:hint="default"/>
      </w:rPr>
    </w:lvl>
    <w:lvl w:ilvl="2" w:tplc="08090005">
      <w:start w:val="1"/>
      <w:numFmt w:val="bullet"/>
      <w:lvlText w:val=""/>
      <w:lvlJc w:val="left"/>
      <w:pPr>
        <w:ind w:left="2587" w:hanging="360"/>
      </w:pPr>
      <w:rPr>
        <w:rFonts w:ascii="Wingdings" w:hAnsi="Wingdings" w:hint="default"/>
      </w:rPr>
    </w:lvl>
    <w:lvl w:ilvl="3" w:tplc="08090001">
      <w:start w:val="1"/>
      <w:numFmt w:val="bullet"/>
      <w:lvlText w:val=""/>
      <w:lvlJc w:val="left"/>
      <w:pPr>
        <w:ind w:left="3307" w:hanging="360"/>
      </w:pPr>
      <w:rPr>
        <w:rFonts w:ascii="Symbol" w:hAnsi="Symbol" w:hint="default"/>
      </w:rPr>
    </w:lvl>
    <w:lvl w:ilvl="4" w:tplc="08090003">
      <w:start w:val="1"/>
      <w:numFmt w:val="bullet"/>
      <w:lvlText w:val="o"/>
      <w:lvlJc w:val="left"/>
      <w:pPr>
        <w:ind w:left="4027" w:hanging="360"/>
      </w:pPr>
      <w:rPr>
        <w:rFonts w:ascii="Courier New" w:hAnsi="Courier New" w:cs="Courier New" w:hint="default"/>
      </w:rPr>
    </w:lvl>
    <w:lvl w:ilvl="5" w:tplc="08090005">
      <w:start w:val="1"/>
      <w:numFmt w:val="bullet"/>
      <w:lvlText w:val=""/>
      <w:lvlJc w:val="left"/>
      <w:pPr>
        <w:ind w:left="4747" w:hanging="360"/>
      </w:pPr>
      <w:rPr>
        <w:rFonts w:ascii="Wingdings" w:hAnsi="Wingdings" w:hint="default"/>
      </w:rPr>
    </w:lvl>
    <w:lvl w:ilvl="6" w:tplc="08090001">
      <w:start w:val="1"/>
      <w:numFmt w:val="bullet"/>
      <w:lvlText w:val=""/>
      <w:lvlJc w:val="left"/>
      <w:pPr>
        <w:ind w:left="5467" w:hanging="360"/>
      </w:pPr>
      <w:rPr>
        <w:rFonts w:ascii="Symbol" w:hAnsi="Symbol" w:hint="default"/>
      </w:rPr>
    </w:lvl>
    <w:lvl w:ilvl="7" w:tplc="08090003">
      <w:start w:val="1"/>
      <w:numFmt w:val="bullet"/>
      <w:lvlText w:val="o"/>
      <w:lvlJc w:val="left"/>
      <w:pPr>
        <w:ind w:left="6187" w:hanging="360"/>
      </w:pPr>
      <w:rPr>
        <w:rFonts w:ascii="Courier New" w:hAnsi="Courier New" w:cs="Courier New" w:hint="default"/>
      </w:rPr>
    </w:lvl>
    <w:lvl w:ilvl="8" w:tplc="08090005">
      <w:start w:val="1"/>
      <w:numFmt w:val="bullet"/>
      <w:lvlText w:val=""/>
      <w:lvlJc w:val="left"/>
      <w:pPr>
        <w:ind w:left="6907" w:hanging="360"/>
      </w:pPr>
      <w:rPr>
        <w:rFonts w:ascii="Wingdings" w:hAnsi="Wingdings" w:hint="default"/>
      </w:rPr>
    </w:lvl>
  </w:abstractNum>
  <w:abstractNum w:abstractNumId="39">
    <w:nsid w:val="798365C6"/>
    <w:multiLevelType w:val="multilevel"/>
    <w:tmpl w:val="E67CE66C"/>
    <w:numStyleLink w:val="StyleNumberedLeft0cmHanging075cm"/>
  </w:abstractNum>
  <w:abstractNum w:abstractNumId="40">
    <w:nsid w:val="7A5F5AE7"/>
    <w:multiLevelType w:val="hybridMultilevel"/>
    <w:tmpl w:val="253E2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0"/>
  </w:num>
  <w:num w:numId="4">
    <w:abstractNumId w:val="1"/>
  </w:num>
  <w:num w:numId="5">
    <w:abstractNumId w:val="35"/>
  </w:num>
  <w:num w:numId="6">
    <w:abstractNumId w:val="28"/>
  </w:num>
  <w:num w:numId="7">
    <w:abstractNumId w:val="17"/>
  </w:num>
  <w:num w:numId="8">
    <w:abstractNumId w:val="7"/>
  </w:num>
  <w:num w:numId="9">
    <w:abstractNumId w:val="4"/>
  </w:num>
  <w:num w:numId="10">
    <w:abstractNumId w:val="13"/>
  </w:num>
  <w:num w:numId="11">
    <w:abstractNumId w:val="3"/>
  </w:num>
  <w:num w:numId="12">
    <w:abstractNumId w:val="29"/>
  </w:num>
  <w:num w:numId="13">
    <w:abstractNumId w:val="21"/>
  </w:num>
  <w:num w:numId="14">
    <w:abstractNumId w:val="2"/>
  </w:num>
  <w:num w:numId="15">
    <w:abstractNumId w:val="18"/>
  </w:num>
  <w:num w:numId="16">
    <w:abstractNumId w:val="26"/>
  </w:num>
  <w:num w:numId="17">
    <w:abstractNumId w:val="20"/>
  </w:num>
  <w:num w:numId="18">
    <w:abstractNumId w:val="30"/>
  </w:num>
  <w:num w:numId="19">
    <w:abstractNumId w:val="23"/>
  </w:num>
  <w:num w:numId="20">
    <w:abstractNumId w:val="32"/>
  </w:num>
  <w:num w:numId="21">
    <w:abstractNumId w:val="11"/>
  </w:num>
  <w:num w:numId="22">
    <w:abstractNumId w:val="31"/>
  </w:num>
  <w:num w:numId="23">
    <w:abstractNumId w:val="37"/>
  </w:num>
  <w:num w:numId="24">
    <w:abstractNumId w:val="9"/>
  </w:num>
  <w:num w:numId="25">
    <w:abstractNumId w:val="22"/>
  </w:num>
  <w:num w:numId="26">
    <w:abstractNumId w:val="19"/>
  </w:num>
  <w:num w:numId="27">
    <w:abstractNumId w:val="33"/>
  </w:num>
  <w:num w:numId="28">
    <w:abstractNumId w:val="14"/>
  </w:num>
  <w:num w:numId="29">
    <w:abstractNumId w:val="5"/>
  </w:num>
  <w:num w:numId="30">
    <w:abstractNumId w:val="27"/>
  </w:num>
  <w:num w:numId="31">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2">
    <w:abstractNumId w:val="34"/>
  </w:num>
  <w:num w:numId="33">
    <w:abstractNumId w:val="15"/>
  </w:num>
  <w:num w:numId="34">
    <w:abstractNumId w:val="38"/>
  </w:num>
  <w:num w:numId="35">
    <w:abstractNumId w:val="36"/>
  </w:num>
  <w:num w:numId="36">
    <w:abstractNumId w:val="16"/>
  </w:num>
  <w:num w:numId="37">
    <w:abstractNumId w:val="24"/>
  </w:num>
  <w:num w:numId="38">
    <w:abstractNumId w:val="25"/>
  </w:num>
  <w:num w:numId="39">
    <w:abstractNumId w:val="40"/>
  </w:num>
  <w:num w:numId="40">
    <w:abstractNumId w:val="6"/>
  </w:num>
  <w:num w:numId="4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7F92"/>
    <w:rsid w:val="00021A52"/>
    <w:rsid w:val="000314D7"/>
    <w:rsid w:val="0003295F"/>
    <w:rsid w:val="00045F8B"/>
    <w:rsid w:val="00046D2B"/>
    <w:rsid w:val="000507F6"/>
    <w:rsid w:val="00051428"/>
    <w:rsid w:val="00051AC1"/>
    <w:rsid w:val="00052C88"/>
    <w:rsid w:val="00054F4E"/>
    <w:rsid w:val="00056263"/>
    <w:rsid w:val="0006084B"/>
    <w:rsid w:val="00064D8A"/>
    <w:rsid w:val="00064F82"/>
    <w:rsid w:val="00066510"/>
    <w:rsid w:val="00077523"/>
    <w:rsid w:val="00082D37"/>
    <w:rsid w:val="0008446D"/>
    <w:rsid w:val="0008659B"/>
    <w:rsid w:val="00093BB2"/>
    <w:rsid w:val="00095434"/>
    <w:rsid w:val="000A5A72"/>
    <w:rsid w:val="000B2FA7"/>
    <w:rsid w:val="000B7684"/>
    <w:rsid w:val="000C089F"/>
    <w:rsid w:val="000C3928"/>
    <w:rsid w:val="000C5E8E"/>
    <w:rsid w:val="000C6C31"/>
    <w:rsid w:val="000E4A6E"/>
    <w:rsid w:val="000E7993"/>
    <w:rsid w:val="000E7B15"/>
    <w:rsid w:val="000F4751"/>
    <w:rsid w:val="00103F8B"/>
    <w:rsid w:val="0010524C"/>
    <w:rsid w:val="00111FB1"/>
    <w:rsid w:val="00113418"/>
    <w:rsid w:val="0011463A"/>
    <w:rsid w:val="001263BC"/>
    <w:rsid w:val="00127526"/>
    <w:rsid w:val="001356F1"/>
    <w:rsid w:val="00136277"/>
    <w:rsid w:val="00136994"/>
    <w:rsid w:val="0014128E"/>
    <w:rsid w:val="00151888"/>
    <w:rsid w:val="00161755"/>
    <w:rsid w:val="00161BEF"/>
    <w:rsid w:val="00170A2D"/>
    <w:rsid w:val="001753E0"/>
    <w:rsid w:val="0017685C"/>
    <w:rsid w:val="001808BC"/>
    <w:rsid w:val="0018229A"/>
    <w:rsid w:val="00182B81"/>
    <w:rsid w:val="00185455"/>
    <w:rsid w:val="00185FA5"/>
    <w:rsid w:val="0018619D"/>
    <w:rsid w:val="001901BC"/>
    <w:rsid w:val="001913BC"/>
    <w:rsid w:val="00193AC0"/>
    <w:rsid w:val="00196859"/>
    <w:rsid w:val="001A011E"/>
    <w:rsid w:val="001A066A"/>
    <w:rsid w:val="001A13E6"/>
    <w:rsid w:val="001A3F8B"/>
    <w:rsid w:val="001A5731"/>
    <w:rsid w:val="001A5BBD"/>
    <w:rsid w:val="001B1361"/>
    <w:rsid w:val="001B42C3"/>
    <w:rsid w:val="001B700B"/>
    <w:rsid w:val="001C5D5E"/>
    <w:rsid w:val="001C7159"/>
    <w:rsid w:val="001D006A"/>
    <w:rsid w:val="001D215B"/>
    <w:rsid w:val="001D287E"/>
    <w:rsid w:val="001D678D"/>
    <w:rsid w:val="001E0061"/>
    <w:rsid w:val="001E0114"/>
    <w:rsid w:val="001E03F8"/>
    <w:rsid w:val="001E0DEA"/>
    <w:rsid w:val="001E1678"/>
    <w:rsid w:val="001E3376"/>
    <w:rsid w:val="001E36AC"/>
    <w:rsid w:val="001F588F"/>
    <w:rsid w:val="00204C98"/>
    <w:rsid w:val="002069B3"/>
    <w:rsid w:val="00211844"/>
    <w:rsid w:val="0021775B"/>
    <w:rsid w:val="002200E7"/>
    <w:rsid w:val="00221E30"/>
    <w:rsid w:val="00224349"/>
    <w:rsid w:val="0023170B"/>
    <w:rsid w:val="002324DD"/>
    <w:rsid w:val="002329CF"/>
    <w:rsid w:val="00232DA4"/>
    <w:rsid w:val="00232F5B"/>
    <w:rsid w:val="00236F95"/>
    <w:rsid w:val="002379C8"/>
    <w:rsid w:val="00246ADE"/>
    <w:rsid w:val="00247C29"/>
    <w:rsid w:val="00260467"/>
    <w:rsid w:val="00263EA3"/>
    <w:rsid w:val="0026788A"/>
    <w:rsid w:val="00284F85"/>
    <w:rsid w:val="00290915"/>
    <w:rsid w:val="00296948"/>
    <w:rsid w:val="00296BD9"/>
    <w:rsid w:val="0029764B"/>
    <w:rsid w:val="002A0784"/>
    <w:rsid w:val="002A22E2"/>
    <w:rsid w:val="002C03CF"/>
    <w:rsid w:val="002C124B"/>
    <w:rsid w:val="002C64F7"/>
    <w:rsid w:val="002D1321"/>
    <w:rsid w:val="002E0BBC"/>
    <w:rsid w:val="002E306E"/>
    <w:rsid w:val="002F41F2"/>
    <w:rsid w:val="00301BF3"/>
    <w:rsid w:val="0030208D"/>
    <w:rsid w:val="00315617"/>
    <w:rsid w:val="00316ED6"/>
    <w:rsid w:val="00323418"/>
    <w:rsid w:val="00332E59"/>
    <w:rsid w:val="003357BF"/>
    <w:rsid w:val="003540C0"/>
    <w:rsid w:val="00354C9C"/>
    <w:rsid w:val="00364FAD"/>
    <w:rsid w:val="0036738F"/>
    <w:rsid w:val="0036759C"/>
    <w:rsid w:val="00367AE5"/>
    <w:rsid w:val="00367D71"/>
    <w:rsid w:val="00374882"/>
    <w:rsid w:val="00377366"/>
    <w:rsid w:val="0038150A"/>
    <w:rsid w:val="0039019B"/>
    <w:rsid w:val="00390862"/>
    <w:rsid w:val="00392B17"/>
    <w:rsid w:val="0039357F"/>
    <w:rsid w:val="00393648"/>
    <w:rsid w:val="00395472"/>
    <w:rsid w:val="00397DB5"/>
    <w:rsid w:val="003B675E"/>
    <w:rsid w:val="003B6E75"/>
    <w:rsid w:val="003B7DA1"/>
    <w:rsid w:val="003D0379"/>
    <w:rsid w:val="003D2574"/>
    <w:rsid w:val="003D4C59"/>
    <w:rsid w:val="003F4267"/>
    <w:rsid w:val="00400D8E"/>
    <w:rsid w:val="00402A2C"/>
    <w:rsid w:val="00404032"/>
    <w:rsid w:val="00404919"/>
    <w:rsid w:val="0040736F"/>
    <w:rsid w:val="00412C1F"/>
    <w:rsid w:val="00417898"/>
    <w:rsid w:val="00421CB2"/>
    <w:rsid w:val="00423F13"/>
    <w:rsid w:val="00425BC9"/>
    <w:rsid w:val="004268B9"/>
    <w:rsid w:val="00433B96"/>
    <w:rsid w:val="00436C12"/>
    <w:rsid w:val="004440F1"/>
    <w:rsid w:val="00444235"/>
    <w:rsid w:val="004456DD"/>
    <w:rsid w:val="00446CDF"/>
    <w:rsid w:val="00450E65"/>
    <w:rsid w:val="004521B7"/>
    <w:rsid w:val="004556B8"/>
    <w:rsid w:val="00460D2B"/>
    <w:rsid w:val="00462AB5"/>
    <w:rsid w:val="00463DD7"/>
    <w:rsid w:val="00465EAF"/>
    <w:rsid w:val="004738C5"/>
    <w:rsid w:val="00485ECC"/>
    <w:rsid w:val="00487B4A"/>
    <w:rsid w:val="00490DED"/>
    <w:rsid w:val="00491046"/>
    <w:rsid w:val="004A0BE4"/>
    <w:rsid w:val="004A2AC7"/>
    <w:rsid w:val="004A6D2F"/>
    <w:rsid w:val="004B3B39"/>
    <w:rsid w:val="004C23E3"/>
    <w:rsid w:val="004C2887"/>
    <w:rsid w:val="004C69B8"/>
    <w:rsid w:val="004D1BE5"/>
    <w:rsid w:val="004D2626"/>
    <w:rsid w:val="004D6E26"/>
    <w:rsid w:val="004D77D3"/>
    <w:rsid w:val="004E0435"/>
    <w:rsid w:val="004E2959"/>
    <w:rsid w:val="004E4127"/>
    <w:rsid w:val="004F20EF"/>
    <w:rsid w:val="004F2A60"/>
    <w:rsid w:val="004F491F"/>
    <w:rsid w:val="0050321C"/>
    <w:rsid w:val="0050622D"/>
    <w:rsid w:val="0051070F"/>
    <w:rsid w:val="00512175"/>
    <w:rsid w:val="00515D8A"/>
    <w:rsid w:val="00521E65"/>
    <w:rsid w:val="0053161E"/>
    <w:rsid w:val="00541FA1"/>
    <w:rsid w:val="00544856"/>
    <w:rsid w:val="0054712D"/>
    <w:rsid w:val="00547EF6"/>
    <w:rsid w:val="005570B5"/>
    <w:rsid w:val="00565E34"/>
    <w:rsid w:val="00567E18"/>
    <w:rsid w:val="005756E0"/>
    <w:rsid w:val="00575F5F"/>
    <w:rsid w:val="00581805"/>
    <w:rsid w:val="00585F76"/>
    <w:rsid w:val="0058636C"/>
    <w:rsid w:val="00592F1B"/>
    <w:rsid w:val="00593C7D"/>
    <w:rsid w:val="00595604"/>
    <w:rsid w:val="005A34E4"/>
    <w:rsid w:val="005B17F2"/>
    <w:rsid w:val="005B4353"/>
    <w:rsid w:val="005B7FB0"/>
    <w:rsid w:val="005C35A5"/>
    <w:rsid w:val="005C577C"/>
    <w:rsid w:val="005C6DF0"/>
    <w:rsid w:val="005D0621"/>
    <w:rsid w:val="005D1C58"/>
    <w:rsid w:val="005D1E27"/>
    <w:rsid w:val="005D2A3E"/>
    <w:rsid w:val="005D408F"/>
    <w:rsid w:val="005E022E"/>
    <w:rsid w:val="005E2AAC"/>
    <w:rsid w:val="005E4D1A"/>
    <w:rsid w:val="005E5215"/>
    <w:rsid w:val="005F095D"/>
    <w:rsid w:val="005F44ED"/>
    <w:rsid w:val="005F54B4"/>
    <w:rsid w:val="005F7905"/>
    <w:rsid w:val="005F7F7E"/>
    <w:rsid w:val="00600109"/>
    <w:rsid w:val="00614693"/>
    <w:rsid w:val="00622CDC"/>
    <w:rsid w:val="00623C2F"/>
    <w:rsid w:val="00633578"/>
    <w:rsid w:val="00637068"/>
    <w:rsid w:val="00644567"/>
    <w:rsid w:val="00650811"/>
    <w:rsid w:val="00652786"/>
    <w:rsid w:val="006539C0"/>
    <w:rsid w:val="00657E26"/>
    <w:rsid w:val="00661D3E"/>
    <w:rsid w:val="00663E93"/>
    <w:rsid w:val="00690950"/>
    <w:rsid w:val="00691B2B"/>
    <w:rsid w:val="00692627"/>
    <w:rsid w:val="006961CF"/>
    <w:rsid w:val="00696657"/>
    <w:rsid w:val="006969E7"/>
    <w:rsid w:val="006A3643"/>
    <w:rsid w:val="006B1139"/>
    <w:rsid w:val="006B3C9A"/>
    <w:rsid w:val="006C2A29"/>
    <w:rsid w:val="006C3421"/>
    <w:rsid w:val="006C64CF"/>
    <w:rsid w:val="006C6EBC"/>
    <w:rsid w:val="006C7B6A"/>
    <w:rsid w:val="006D17B1"/>
    <w:rsid w:val="006D4752"/>
    <w:rsid w:val="006D581B"/>
    <w:rsid w:val="006D708A"/>
    <w:rsid w:val="006E06FE"/>
    <w:rsid w:val="006E14C1"/>
    <w:rsid w:val="006E65EC"/>
    <w:rsid w:val="006E7B46"/>
    <w:rsid w:val="006F0292"/>
    <w:rsid w:val="006F27FA"/>
    <w:rsid w:val="006F416B"/>
    <w:rsid w:val="006F519B"/>
    <w:rsid w:val="00705D5E"/>
    <w:rsid w:val="00705FA4"/>
    <w:rsid w:val="00713675"/>
    <w:rsid w:val="00715823"/>
    <w:rsid w:val="007203CC"/>
    <w:rsid w:val="00724906"/>
    <w:rsid w:val="00734F9A"/>
    <w:rsid w:val="0073753B"/>
    <w:rsid w:val="00737B93"/>
    <w:rsid w:val="00745BF0"/>
    <w:rsid w:val="007615FE"/>
    <w:rsid w:val="007633F1"/>
    <w:rsid w:val="007635D4"/>
    <w:rsid w:val="0076655C"/>
    <w:rsid w:val="00771C81"/>
    <w:rsid w:val="007742DC"/>
    <w:rsid w:val="00791437"/>
    <w:rsid w:val="007921BC"/>
    <w:rsid w:val="00796ADD"/>
    <w:rsid w:val="007A58DA"/>
    <w:rsid w:val="007B0C2C"/>
    <w:rsid w:val="007B278E"/>
    <w:rsid w:val="007B615F"/>
    <w:rsid w:val="007B6437"/>
    <w:rsid w:val="007C5C23"/>
    <w:rsid w:val="007D5089"/>
    <w:rsid w:val="007E0CD2"/>
    <w:rsid w:val="007E2A26"/>
    <w:rsid w:val="007E46DC"/>
    <w:rsid w:val="007E6FFC"/>
    <w:rsid w:val="007F2348"/>
    <w:rsid w:val="00803F07"/>
    <w:rsid w:val="0080749A"/>
    <w:rsid w:val="00821FB8"/>
    <w:rsid w:val="00822ACD"/>
    <w:rsid w:val="00842B63"/>
    <w:rsid w:val="0085047C"/>
    <w:rsid w:val="0085194F"/>
    <w:rsid w:val="008557AC"/>
    <w:rsid w:val="00855C66"/>
    <w:rsid w:val="00857E6D"/>
    <w:rsid w:val="00864925"/>
    <w:rsid w:val="00866773"/>
    <w:rsid w:val="00871EE4"/>
    <w:rsid w:val="00874E3F"/>
    <w:rsid w:val="00882271"/>
    <w:rsid w:val="00896E27"/>
    <w:rsid w:val="008A4A35"/>
    <w:rsid w:val="008A506E"/>
    <w:rsid w:val="008A7D27"/>
    <w:rsid w:val="008A7DFF"/>
    <w:rsid w:val="008B2103"/>
    <w:rsid w:val="008B293F"/>
    <w:rsid w:val="008B39F1"/>
    <w:rsid w:val="008B7371"/>
    <w:rsid w:val="008C25F4"/>
    <w:rsid w:val="008C3E84"/>
    <w:rsid w:val="008D158C"/>
    <w:rsid w:val="008D3DDB"/>
    <w:rsid w:val="008F573F"/>
    <w:rsid w:val="009034EC"/>
    <w:rsid w:val="00911086"/>
    <w:rsid w:val="00916E57"/>
    <w:rsid w:val="0092468D"/>
    <w:rsid w:val="0093067A"/>
    <w:rsid w:val="00941C60"/>
    <w:rsid w:val="00944A18"/>
    <w:rsid w:val="00952689"/>
    <w:rsid w:val="0095716D"/>
    <w:rsid w:val="00957A35"/>
    <w:rsid w:val="00966D42"/>
    <w:rsid w:val="00971689"/>
    <w:rsid w:val="00973E90"/>
    <w:rsid w:val="00975B07"/>
    <w:rsid w:val="00977A4D"/>
    <w:rsid w:val="009807E3"/>
    <w:rsid w:val="00980B4A"/>
    <w:rsid w:val="00985B07"/>
    <w:rsid w:val="009933B7"/>
    <w:rsid w:val="0099655B"/>
    <w:rsid w:val="009B13EE"/>
    <w:rsid w:val="009B62DE"/>
    <w:rsid w:val="009B677A"/>
    <w:rsid w:val="009C4452"/>
    <w:rsid w:val="009C5710"/>
    <w:rsid w:val="009D780B"/>
    <w:rsid w:val="009E3D0A"/>
    <w:rsid w:val="009E51FC"/>
    <w:rsid w:val="009E5BC2"/>
    <w:rsid w:val="009F1D28"/>
    <w:rsid w:val="009F2298"/>
    <w:rsid w:val="009F50C5"/>
    <w:rsid w:val="009F7618"/>
    <w:rsid w:val="009F773B"/>
    <w:rsid w:val="00A03F7B"/>
    <w:rsid w:val="00A04D23"/>
    <w:rsid w:val="00A05F90"/>
    <w:rsid w:val="00A06766"/>
    <w:rsid w:val="00A13765"/>
    <w:rsid w:val="00A152DD"/>
    <w:rsid w:val="00A2152E"/>
    <w:rsid w:val="00A21B12"/>
    <w:rsid w:val="00A23F80"/>
    <w:rsid w:val="00A46E98"/>
    <w:rsid w:val="00A5261F"/>
    <w:rsid w:val="00A53EA0"/>
    <w:rsid w:val="00A559B3"/>
    <w:rsid w:val="00A56F7F"/>
    <w:rsid w:val="00A577A9"/>
    <w:rsid w:val="00A60803"/>
    <w:rsid w:val="00A60E40"/>
    <w:rsid w:val="00A62D07"/>
    <w:rsid w:val="00A6352B"/>
    <w:rsid w:val="00A65DF6"/>
    <w:rsid w:val="00A66429"/>
    <w:rsid w:val="00A701B5"/>
    <w:rsid w:val="00A70B6A"/>
    <w:rsid w:val="00A714BB"/>
    <w:rsid w:val="00A77DBF"/>
    <w:rsid w:val="00A801B8"/>
    <w:rsid w:val="00A8106D"/>
    <w:rsid w:val="00A92D8F"/>
    <w:rsid w:val="00AA0E4A"/>
    <w:rsid w:val="00AA266D"/>
    <w:rsid w:val="00AA496A"/>
    <w:rsid w:val="00AB2988"/>
    <w:rsid w:val="00AB7999"/>
    <w:rsid w:val="00AC0508"/>
    <w:rsid w:val="00AD07A6"/>
    <w:rsid w:val="00AD3292"/>
    <w:rsid w:val="00AE4558"/>
    <w:rsid w:val="00AE663B"/>
    <w:rsid w:val="00AE78CF"/>
    <w:rsid w:val="00AE7AF0"/>
    <w:rsid w:val="00AF654B"/>
    <w:rsid w:val="00B00708"/>
    <w:rsid w:val="00B111EB"/>
    <w:rsid w:val="00B358B2"/>
    <w:rsid w:val="00B37808"/>
    <w:rsid w:val="00B500CA"/>
    <w:rsid w:val="00B534E1"/>
    <w:rsid w:val="00B5707C"/>
    <w:rsid w:val="00B61E2D"/>
    <w:rsid w:val="00B62552"/>
    <w:rsid w:val="00B64204"/>
    <w:rsid w:val="00B70230"/>
    <w:rsid w:val="00B82810"/>
    <w:rsid w:val="00B86314"/>
    <w:rsid w:val="00B93B22"/>
    <w:rsid w:val="00BA1C2E"/>
    <w:rsid w:val="00BA1F15"/>
    <w:rsid w:val="00BA507F"/>
    <w:rsid w:val="00BA78D8"/>
    <w:rsid w:val="00BB2E56"/>
    <w:rsid w:val="00BC1E04"/>
    <w:rsid w:val="00BC200B"/>
    <w:rsid w:val="00BC311D"/>
    <w:rsid w:val="00BC4756"/>
    <w:rsid w:val="00BC69A4"/>
    <w:rsid w:val="00BD0E2E"/>
    <w:rsid w:val="00BD1572"/>
    <w:rsid w:val="00BE0680"/>
    <w:rsid w:val="00BE1987"/>
    <w:rsid w:val="00BE3055"/>
    <w:rsid w:val="00BE305F"/>
    <w:rsid w:val="00BE7BA3"/>
    <w:rsid w:val="00BF5682"/>
    <w:rsid w:val="00BF69AE"/>
    <w:rsid w:val="00BF7B09"/>
    <w:rsid w:val="00C017DB"/>
    <w:rsid w:val="00C07F8D"/>
    <w:rsid w:val="00C20A95"/>
    <w:rsid w:val="00C213D0"/>
    <w:rsid w:val="00C25D6B"/>
    <w:rsid w:val="00C2692F"/>
    <w:rsid w:val="00C27815"/>
    <w:rsid w:val="00C3064D"/>
    <w:rsid w:val="00C3207C"/>
    <w:rsid w:val="00C327F0"/>
    <w:rsid w:val="00C400E1"/>
    <w:rsid w:val="00C41187"/>
    <w:rsid w:val="00C45294"/>
    <w:rsid w:val="00C5108D"/>
    <w:rsid w:val="00C55E85"/>
    <w:rsid w:val="00C57241"/>
    <w:rsid w:val="00C63C31"/>
    <w:rsid w:val="00C728F7"/>
    <w:rsid w:val="00C744A9"/>
    <w:rsid w:val="00C751FF"/>
    <w:rsid w:val="00C757A0"/>
    <w:rsid w:val="00C760DE"/>
    <w:rsid w:val="00C7749F"/>
    <w:rsid w:val="00C82630"/>
    <w:rsid w:val="00C84BE3"/>
    <w:rsid w:val="00C85B4E"/>
    <w:rsid w:val="00C907F7"/>
    <w:rsid w:val="00C95377"/>
    <w:rsid w:val="00CA2103"/>
    <w:rsid w:val="00CB56A0"/>
    <w:rsid w:val="00CB62F1"/>
    <w:rsid w:val="00CB6B99"/>
    <w:rsid w:val="00CC3009"/>
    <w:rsid w:val="00CE4C87"/>
    <w:rsid w:val="00CE544A"/>
    <w:rsid w:val="00CF40E5"/>
    <w:rsid w:val="00D06E45"/>
    <w:rsid w:val="00D11E1C"/>
    <w:rsid w:val="00D13402"/>
    <w:rsid w:val="00D160B0"/>
    <w:rsid w:val="00D17F94"/>
    <w:rsid w:val="00D223FC"/>
    <w:rsid w:val="00D24256"/>
    <w:rsid w:val="00D26D1E"/>
    <w:rsid w:val="00D43129"/>
    <w:rsid w:val="00D43594"/>
    <w:rsid w:val="00D474CF"/>
    <w:rsid w:val="00D524B5"/>
    <w:rsid w:val="00D52E0C"/>
    <w:rsid w:val="00D53515"/>
    <w:rsid w:val="00D53FD5"/>
    <w:rsid w:val="00D5547E"/>
    <w:rsid w:val="00D56DCB"/>
    <w:rsid w:val="00D572C5"/>
    <w:rsid w:val="00D623D3"/>
    <w:rsid w:val="00D64EF0"/>
    <w:rsid w:val="00D70318"/>
    <w:rsid w:val="00D72AA3"/>
    <w:rsid w:val="00D8450C"/>
    <w:rsid w:val="00D86349"/>
    <w:rsid w:val="00D869A1"/>
    <w:rsid w:val="00D96CF5"/>
    <w:rsid w:val="00D97689"/>
    <w:rsid w:val="00DA2AF3"/>
    <w:rsid w:val="00DA413F"/>
    <w:rsid w:val="00DA4584"/>
    <w:rsid w:val="00DA614B"/>
    <w:rsid w:val="00DA7624"/>
    <w:rsid w:val="00DB12D4"/>
    <w:rsid w:val="00DC0876"/>
    <w:rsid w:val="00DC3060"/>
    <w:rsid w:val="00DC5161"/>
    <w:rsid w:val="00DC59F9"/>
    <w:rsid w:val="00DD5EFC"/>
    <w:rsid w:val="00DE038E"/>
    <w:rsid w:val="00DE0FB2"/>
    <w:rsid w:val="00DE5DDE"/>
    <w:rsid w:val="00DF03DF"/>
    <w:rsid w:val="00DF093E"/>
    <w:rsid w:val="00DF2CE2"/>
    <w:rsid w:val="00E01F42"/>
    <w:rsid w:val="00E04B7C"/>
    <w:rsid w:val="00E11E69"/>
    <w:rsid w:val="00E206D6"/>
    <w:rsid w:val="00E3366E"/>
    <w:rsid w:val="00E46AEC"/>
    <w:rsid w:val="00E51ABF"/>
    <w:rsid w:val="00E52086"/>
    <w:rsid w:val="00E543A6"/>
    <w:rsid w:val="00E60479"/>
    <w:rsid w:val="00E61D73"/>
    <w:rsid w:val="00E73684"/>
    <w:rsid w:val="00E75ACC"/>
    <w:rsid w:val="00E76532"/>
    <w:rsid w:val="00E8171A"/>
    <w:rsid w:val="00E818D6"/>
    <w:rsid w:val="00E87F7A"/>
    <w:rsid w:val="00E9056C"/>
    <w:rsid w:val="00E96BD7"/>
    <w:rsid w:val="00EA0DB1"/>
    <w:rsid w:val="00EA0EE9"/>
    <w:rsid w:val="00EB7341"/>
    <w:rsid w:val="00EC490E"/>
    <w:rsid w:val="00EC5CDF"/>
    <w:rsid w:val="00ED413C"/>
    <w:rsid w:val="00ED52CA"/>
    <w:rsid w:val="00ED5860"/>
    <w:rsid w:val="00ED7981"/>
    <w:rsid w:val="00EE066A"/>
    <w:rsid w:val="00EE35C9"/>
    <w:rsid w:val="00EF0B74"/>
    <w:rsid w:val="00F0394C"/>
    <w:rsid w:val="00F05ECA"/>
    <w:rsid w:val="00F217E9"/>
    <w:rsid w:val="00F251E6"/>
    <w:rsid w:val="00F31432"/>
    <w:rsid w:val="00F33940"/>
    <w:rsid w:val="00F3519B"/>
    <w:rsid w:val="00F3566E"/>
    <w:rsid w:val="00F375FB"/>
    <w:rsid w:val="00F41AC1"/>
    <w:rsid w:val="00F426E3"/>
    <w:rsid w:val="00F4367A"/>
    <w:rsid w:val="00F44520"/>
    <w:rsid w:val="00F445B1"/>
    <w:rsid w:val="00F457AF"/>
    <w:rsid w:val="00F45CD4"/>
    <w:rsid w:val="00F60052"/>
    <w:rsid w:val="00F6293E"/>
    <w:rsid w:val="00F636C4"/>
    <w:rsid w:val="00F66DCA"/>
    <w:rsid w:val="00F72A23"/>
    <w:rsid w:val="00F74F53"/>
    <w:rsid w:val="00F7606D"/>
    <w:rsid w:val="00F81670"/>
    <w:rsid w:val="00F82024"/>
    <w:rsid w:val="00F951BF"/>
    <w:rsid w:val="00F95BC9"/>
    <w:rsid w:val="00F95E17"/>
    <w:rsid w:val="00FA0C77"/>
    <w:rsid w:val="00FA1C41"/>
    <w:rsid w:val="00FA624C"/>
    <w:rsid w:val="00FB0F73"/>
    <w:rsid w:val="00FC1ACD"/>
    <w:rsid w:val="00FC1D75"/>
    <w:rsid w:val="00FC29A6"/>
    <w:rsid w:val="00FC53FB"/>
    <w:rsid w:val="00FC5B3A"/>
    <w:rsid w:val="00FD0FAC"/>
    <w:rsid w:val="00FD1632"/>
    <w:rsid w:val="00FD1DFA"/>
    <w:rsid w:val="00FD2B2F"/>
    <w:rsid w:val="00FD4966"/>
    <w:rsid w:val="00FD6D84"/>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8462A7"/>
  <w15:docId w15:val="{7C8C2ADD-3699-4F3C-88FD-1A83CC4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491F"/>
    <w:rPr>
      <w:b/>
      <w:bCs/>
    </w:rPr>
  </w:style>
  <w:style w:type="paragraph" w:customStyle="1" w:styleId="Default">
    <w:name w:val="Default"/>
    <w:rsid w:val="0058636C"/>
    <w:pPr>
      <w:autoSpaceDE w:val="0"/>
      <w:autoSpaceDN w:val="0"/>
      <w:adjustRightInd w:val="0"/>
      <w:spacing w:after="0"/>
    </w:pPr>
    <w:rPr>
      <w:rFonts w:ascii="DejaVu Sans" w:hAnsi="DejaVu Sans" w:cs="DejaVu Sans"/>
      <w:color w:val="000000"/>
      <w:sz w:val="24"/>
      <w:szCs w:val="24"/>
    </w:rPr>
  </w:style>
  <w:style w:type="numbering" w:customStyle="1" w:styleId="StyleNumberedLeft0cmHanging075cm1">
    <w:name w:val="Style Numbered Left:  0 cm Hanging:  0.75 cm1"/>
    <w:basedOn w:val="NoList"/>
    <w:rsid w:val="001E0DEA"/>
  </w:style>
  <w:style w:type="numbering" w:customStyle="1" w:styleId="StyleNumberedLeft0cmHanging075cm2">
    <w:name w:val="Style Numbered Left:  0 cm Hanging:  0.75 cm2"/>
    <w:basedOn w:val="NoList"/>
    <w:rsid w:val="00236F95"/>
  </w:style>
  <w:style w:type="table" w:customStyle="1" w:styleId="TableGrid211">
    <w:name w:val="Table Grid211"/>
    <w:basedOn w:val="TableNormal"/>
    <w:next w:val="TableGrid"/>
    <w:uiPriority w:val="59"/>
    <w:rsid w:val="00236F95"/>
    <w:pPr>
      <w:spacing w:after="0"/>
    </w:pPr>
    <w:rPr>
      <w:rFonts w:eastAsiaTheme="minorHAnsi"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27526"/>
    <w:pPr>
      <w:spacing w:after="0"/>
    </w:pPr>
    <w:rPr>
      <w:rFonts w:asciiTheme="minorHAnsi" w:eastAsiaTheme="minorEastAsia"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127526"/>
    <w:rPr>
      <w:i/>
      <w:iCs/>
    </w:rPr>
  </w:style>
  <w:style w:type="character" w:customStyle="1" w:styleId="FooterChar">
    <w:name w:val="Footer Char"/>
    <w:aliases w:val="zzFooter Char"/>
    <w:basedOn w:val="DefaultParagraphFont"/>
    <w:link w:val="Footer"/>
    <w:uiPriority w:val="99"/>
    <w:rsid w:val="00196859"/>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92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0057305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87263982">
      <w:bodyDiv w:val="1"/>
      <w:marLeft w:val="0"/>
      <w:marRight w:val="0"/>
      <w:marTop w:val="0"/>
      <w:marBottom w:val="0"/>
      <w:divBdr>
        <w:top w:val="none" w:sz="0" w:space="0" w:color="auto"/>
        <w:left w:val="none" w:sz="0" w:space="0" w:color="auto"/>
        <w:bottom w:val="none" w:sz="0" w:space="0" w:color="auto"/>
        <w:right w:val="none" w:sz="0" w:space="0" w:color="auto"/>
      </w:divBdr>
    </w:div>
    <w:div w:id="52051484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5254015">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9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4677977">
      <w:bodyDiv w:val="1"/>
      <w:marLeft w:val="0"/>
      <w:marRight w:val="0"/>
      <w:marTop w:val="0"/>
      <w:marBottom w:val="0"/>
      <w:divBdr>
        <w:top w:val="none" w:sz="0" w:space="0" w:color="auto"/>
        <w:left w:val="none" w:sz="0" w:space="0" w:color="auto"/>
        <w:bottom w:val="none" w:sz="0" w:space="0" w:color="auto"/>
        <w:right w:val="none" w:sz="0" w:space="0" w:color="auto"/>
      </w:divBdr>
    </w:div>
    <w:div w:id="1701315838">
      <w:bodyDiv w:val="1"/>
      <w:marLeft w:val="0"/>
      <w:marRight w:val="0"/>
      <w:marTop w:val="0"/>
      <w:marBottom w:val="0"/>
      <w:divBdr>
        <w:top w:val="none" w:sz="0" w:space="0" w:color="auto"/>
        <w:left w:val="none" w:sz="0" w:space="0" w:color="auto"/>
        <w:bottom w:val="none" w:sz="0" w:space="0" w:color="auto"/>
        <w:right w:val="none" w:sz="0" w:space="0" w:color="auto"/>
      </w:divBdr>
    </w:div>
    <w:div w:id="1870070812">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ndekar@oxford.gov.uk"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2.emf"/><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Reply for an organisation</c:v>
                </c:pt>
              </c:strCache>
            </c:strRef>
          </c:tx>
          <c:invertIfNegative val="1"/>
          <c:cat>
            <c:strRef>
              <c:f>Sheet1!$A$2:$A$3</c:f>
              <c:strCache>
                <c:ptCount val="2"/>
                <c:pt idx="0">
                  <c:v>No</c:v>
                </c:pt>
                <c:pt idx="1">
                  <c:v>Yes</c:v>
                </c:pt>
              </c:strCache>
            </c:strRef>
          </c:cat>
          <c:val>
            <c:numRef>
              <c:f>Sheet1!$B$2:$B$3</c:f>
              <c:numCache>
                <c:formatCode>General</c:formatCode>
                <c:ptCount val="2"/>
                <c:pt idx="0">
                  <c:v>287</c:v>
                </c:pt>
                <c:pt idx="1">
                  <c:v>7</c:v>
                </c:pt>
              </c:numCache>
            </c:numRef>
          </c:val>
        </c:ser>
        <c:dLbls>
          <c:showLegendKey val="0"/>
          <c:showVal val="0"/>
          <c:showCatName val="0"/>
          <c:showSerName val="0"/>
          <c:showPercent val="0"/>
          <c:showBubbleSize val="0"/>
        </c:dLbls>
        <c:gapWidth val="150"/>
        <c:axId val="355013584"/>
        <c:axId val="355013976"/>
      </c:barChart>
      <c:catAx>
        <c:axId val="355013584"/>
        <c:scaling>
          <c:orientation val="minMax"/>
        </c:scaling>
        <c:delete val="0"/>
        <c:axPos val="l"/>
        <c:numFmt formatCode="General" sourceLinked="0"/>
        <c:majorTickMark val="out"/>
        <c:minorTickMark val="none"/>
        <c:tickLblPos val="nextTo"/>
        <c:txPr>
          <a:bodyPr/>
          <a:lstStyle/>
          <a:p>
            <a:pPr>
              <a:defRPr sz="1100"/>
            </a:pPr>
            <a:endParaRPr lang="en-US"/>
          </a:p>
        </c:txPr>
        <c:crossAx val="355013976"/>
        <c:crosses val="autoZero"/>
        <c:auto val="1"/>
        <c:lblAlgn val="ctr"/>
        <c:lblOffset val="100"/>
        <c:noMultiLvlLbl val="0"/>
      </c:catAx>
      <c:valAx>
        <c:axId val="355013976"/>
        <c:scaling>
          <c:orientation val="minMax"/>
          <c:min val="0"/>
        </c:scaling>
        <c:delete val="0"/>
        <c:axPos val="b"/>
        <c:numFmt formatCode="General" sourceLinked="1"/>
        <c:majorTickMark val="out"/>
        <c:minorTickMark val="none"/>
        <c:tickLblPos val="nextTo"/>
        <c:txPr>
          <a:bodyPr/>
          <a:lstStyle/>
          <a:p>
            <a:pPr>
              <a:defRPr sz="900"/>
            </a:pPr>
            <a:endParaRPr lang="en-US"/>
          </a:p>
        </c:txPr>
        <c:crossAx val="355013584"/>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increase fees and charges</c:v>
                </c:pt>
              </c:strCache>
            </c:strRef>
          </c:tx>
          <c:invertIfNegative val="1"/>
          <c:cat>
            <c:strRef>
              <c:f>Sheet1!$A$2:$A$5</c:f>
              <c:strCache>
                <c:ptCount val="4"/>
                <c:pt idx="0">
                  <c:v>Not Answered</c:v>
                </c:pt>
                <c:pt idx="1">
                  <c:v>Do not know</c:v>
                </c:pt>
                <c:pt idx="2">
                  <c:v>No</c:v>
                </c:pt>
                <c:pt idx="3">
                  <c:v>Yes</c:v>
                </c:pt>
              </c:strCache>
            </c:strRef>
          </c:cat>
          <c:val>
            <c:numRef>
              <c:f>Sheet1!$B$2:$B$5</c:f>
              <c:numCache>
                <c:formatCode>General</c:formatCode>
                <c:ptCount val="4"/>
                <c:pt idx="0">
                  <c:v>8</c:v>
                </c:pt>
                <c:pt idx="1">
                  <c:v>59</c:v>
                </c:pt>
                <c:pt idx="2">
                  <c:v>184</c:v>
                </c:pt>
                <c:pt idx="3">
                  <c:v>43</c:v>
                </c:pt>
              </c:numCache>
            </c:numRef>
          </c:val>
        </c:ser>
        <c:dLbls>
          <c:showLegendKey val="0"/>
          <c:showVal val="0"/>
          <c:showCatName val="0"/>
          <c:showSerName val="0"/>
          <c:showPercent val="0"/>
          <c:showBubbleSize val="0"/>
        </c:dLbls>
        <c:gapWidth val="150"/>
        <c:axId val="464403672"/>
        <c:axId val="464404064"/>
      </c:barChart>
      <c:catAx>
        <c:axId val="464403672"/>
        <c:scaling>
          <c:orientation val="minMax"/>
        </c:scaling>
        <c:delete val="0"/>
        <c:axPos val="l"/>
        <c:numFmt formatCode="General" sourceLinked="0"/>
        <c:majorTickMark val="out"/>
        <c:minorTickMark val="none"/>
        <c:tickLblPos val="nextTo"/>
        <c:txPr>
          <a:bodyPr/>
          <a:lstStyle/>
          <a:p>
            <a:pPr>
              <a:defRPr sz="1100"/>
            </a:pPr>
            <a:endParaRPr lang="en-US"/>
          </a:p>
        </c:txPr>
        <c:crossAx val="464404064"/>
        <c:crosses val="autoZero"/>
        <c:auto val="1"/>
        <c:lblAlgn val="ctr"/>
        <c:lblOffset val="100"/>
        <c:noMultiLvlLbl val="0"/>
      </c:catAx>
      <c:valAx>
        <c:axId val="464404064"/>
        <c:scaling>
          <c:orientation val="minMax"/>
          <c:min val="0"/>
        </c:scaling>
        <c:delete val="0"/>
        <c:axPos val="b"/>
        <c:numFmt formatCode="General" sourceLinked="1"/>
        <c:majorTickMark val="out"/>
        <c:minorTickMark val="none"/>
        <c:tickLblPos val="nextTo"/>
        <c:txPr>
          <a:bodyPr/>
          <a:lstStyle/>
          <a:p>
            <a:pPr>
              <a:defRPr sz="900"/>
            </a:pPr>
            <a:endParaRPr lang="en-US"/>
          </a:p>
        </c:txPr>
        <c:crossAx val="464403672"/>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Getting CTR</c:v>
                </c:pt>
              </c:strCache>
            </c:strRef>
          </c:tx>
          <c:invertIfNegative val="1"/>
          <c:cat>
            <c:strRef>
              <c:f>Sheet1!$A$2:$A$5</c:f>
              <c:strCache>
                <c:ptCount val="4"/>
                <c:pt idx="0">
                  <c:v>Not Answered</c:v>
                </c:pt>
                <c:pt idx="1">
                  <c:v>Prefer not to say</c:v>
                </c:pt>
                <c:pt idx="2">
                  <c:v>No</c:v>
                </c:pt>
                <c:pt idx="3">
                  <c:v>Yes</c:v>
                </c:pt>
              </c:strCache>
            </c:strRef>
          </c:cat>
          <c:val>
            <c:numRef>
              <c:f>Sheet1!$B$2:$B$5</c:f>
              <c:numCache>
                <c:formatCode>General</c:formatCode>
                <c:ptCount val="4"/>
                <c:pt idx="0">
                  <c:v>2</c:v>
                </c:pt>
                <c:pt idx="1">
                  <c:v>41</c:v>
                </c:pt>
                <c:pt idx="2">
                  <c:v>98</c:v>
                </c:pt>
                <c:pt idx="3">
                  <c:v>153</c:v>
                </c:pt>
              </c:numCache>
            </c:numRef>
          </c:val>
        </c:ser>
        <c:dLbls>
          <c:showLegendKey val="0"/>
          <c:showVal val="0"/>
          <c:showCatName val="0"/>
          <c:showSerName val="0"/>
          <c:showPercent val="0"/>
          <c:showBubbleSize val="0"/>
        </c:dLbls>
        <c:gapWidth val="150"/>
        <c:axId val="347108216"/>
        <c:axId val="347110960"/>
      </c:barChart>
      <c:catAx>
        <c:axId val="347108216"/>
        <c:scaling>
          <c:orientation val="minMax"/>
        </c:scaling>
        <c:delete val="0"/>
        <c:axPos val="l"/>
        <c:numFmt formatCode="General" sourceLinked="0"/>
        <c:majorTickMark val="out"/>
        <c:minorTickMark val="none"/>
        <c:tickLblPos val="nextTo"/>
        <c:txPr>
          <a:bodyPr/>
          <a:lstStyle/>
          <a:p>
            <a:pPr>
              <a:defRPr sz="1100"/>
            </a:pPr>
            <a:endParaRPr lang="en-US"/>
          </a:p>
        </c:txPr>
        <c:crossAx val="347110960"/>
        <c:crosses val="autoZero"/>
        <c:auto val="1"/>
        <c:lblAlgn val="ctr"/>
        <c:lblOffset val="100"/>
        <c:noMultiLvlLbl val="0"/>
      </c:catAx>
      <c:valAx>
        <c:axId val="347110960"/>
        <c:scaling>
          <c:orientation val="minMax"/>
          <c:min val="0"/>
        </c:scaling>
        <c:delete val="0"/>
        <c:axPos val="b"/>
        <c:numFmt formatCode="General" sourceLinked="1"/>
        <c:majorTickMark val="out"/>
        <c:minorTickMark val="none"/>
        <c:tickLblPos val="nextTo"/>
        <c:txPr>
          <a:bodyPr/>
          <a:lstStyle/>
          <a:p>
            <a:pPr>
              <a:defRPr sz="900"/>
            </a:pPr>
            <a:endParaRPr lang="en-US"/>
          </a:p>
        </c:txPr>
        <c:crossAx val="34710821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Gender</c:v>
                </c:pt>
              </c:strCache>
            </c:strRef>
          </c:tx>
          <c:invertIfNegative val="1"/>
          <c:cat>
            <c:strRef>
              <c:f>Sheet1!$A$2:$A$6</c:f>
              <c:strCache>
                <c:ptCount val="5"/>
                <c:pt idx="0">
                  <c:v>Not Answered</c:v>
                </c:pt>
                <c:pt idx="1">
                  <c:v>Prefer not to say</c:v>
                </c:pt>
                <c:pt idx="2">
                  <c:v>In another way</c:v>
                </c:pt>
                <c:pt idx="3">
                  <c:v>Male</c:v>
                </c:pt>
                <c:pt idx="4">
                  <c:v>Female</c:v>
                </c:pt>
              </c:strCache>
            </c:strRef>
          </c:cat>
          <c:val>
            <c:numRef>
              <c:f>Sheet1!$B$2:$B$6</c:f>
              <c:numCache>
                <c:formatCode>General</c:formatCode>
                <c:ptCount val="5"/>
                <c:pt idx="0">
                  <c:v>5</c:v>
                </c:pt>
                <c:pt idx="1">
                  <c:v>34</c:v>
                </c:pt>
                <c:pt idx="2">
                  <c:v>2</c:v>
                </c:pt>
                <c:pt idx="3">
                  <c:v>97</c:v>
                </c:pt>
                <c:pt idx="4">
                  <c:v>156</c:v>
                </c:pt>
              </c:numCache>
            </c:numRef>
          </c:val>
        </c:ser>
        <c:dLbls>
          <c:showLegendKey val="0"/>
          <c:showVal val="0"/>
          <c:showCatName val="0"/>
          <c:showSerName val="0"/>
          <c:showPercent val="0"/>
          <c:showBubbleSize val="0"/>
        </c:dLbls>
        <c:gapWidth val="150"/>
        <c:axId val="347112136"/>
        <c:axId val="347115272"/>
      </c:barChart>
      <c:catAx>
        <c:axId val="347112136"/>
        <c:scaling>
          <c:orientation val="minMax"/>
        </c:scaling>
        <c:delete val="0"/>
        <c:axPos val="l"/>
        <c:numFmt formatCode="General" sourceLinked="0"/>
        <c:majorTickMark val="out"/>
        <c:minorTickMark val="none"/>
        <c:tickLblPos val="nextTo"/>
        <c:txPr>
          <a:bodyPr/>
          <a:lstStyle/>
          <a:p>
            <a:pPr>
              <a:defRPr sz="1100"/>
            </a:pPr>
            <a:endParaRPr lang="en-US"/>
          </a:p>
        </c:txPr>
        <c:crossAx val="347115272"/>
        <c:crosses val="autoZero"/>
        <c:auto val="1"/>
        <c:lblAlgn val="ctr"/>
        <c:lblOffset val="100"/>
        <c:noMultiLvlLbl val="0"/>
      </c:catAx>
      <c:valAx>
        <c:axId val="347115272"/>
        <c:scaling>
          <c:orientation val="minMax"/>
          <c:min val="0"/>
        </c:scaling>
        <c:delete val="0"/>
        <c:axPos val="b"/>
        <c:numFmt formatCode="General" sourceLinked="1"/>
        <c:majorTickMark val="out"/>
        <c:minorTickMark val="none"/>
        <c:tickLblPos val="nextTo"/>
        <c:txPr>
          <a:bodyPr/>
          <a:lstStyle/>
          <a:p>
            <a:pPr>
              <a:defRPr sz="900"/>
            </a:pPr>
            <a:endParaRPr lang="en-US"/>
          </a:p>
        </c:txPr>
        <c:crossAx val="3471121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Age</c:v>
                </c:pt>
              </c:strCache>
            </c:strRef>
          </c:tx>
          <c:invertIfNegative val="1"/>
          <c:cat>
            <c:strRef>
              <c:f>Sheet1!$A$2:$A$11</c:f>
              <c:strCache>
                <c:ptCount val="10"/>
                <c:pt idx="0">
                  <c:v>Not Answered</c:v>
                </c:pt>
                <c:pt idx="1">
                  <c:v>Prefer not to say</c:v>
                </c:pt>
                <c:pt idx="2">
                  <c:v>75+</c:v>
                </c:pt>
                <c:pt idx="3">
                  <c:v>65-74</c:v>
                </c:pt>
                <c:pt idx="4">
                  <c:v>60-64</c:v>
                </c:pt>
                <c:pt idx="5">
                  <c:v>55-59</c:v>
                </c:pt>
                <c:pt idx="6">
                  <c:v>45-54</c:v>
                </c:pt>
                <c:pt idx="7">
                  <c:v>35-44</c:v>
                </c:pt>
                <c:pt idx="8">
                  <c:v>25-34</c:v>
                </c:pt>
                <c:pt idx="9">
                  <c:v>20-24</c:v>
                </c:pt>
              </c:strCache>
            </c:strRef>
          </c:cat>
          <c:val>
            <c:numRef>
              <c:f>Sheet1!$B$2:$B$11</c:f>
              <c:numCache>
                <c:formatCode>General</c:formatCode>
                <c:ptCount val="10"/>
                <c:pt idx="0">
                  <c:v>3</c:v>
                </c:pt>
                <c:pt idx="1">
                  <c:v>22</c:v>
                </c:pt>
                <c:pt idx="2">
                  <c:v>13</c:v>
                </c:pt>
                <c:pt idx="3">
                  <c:v>23</c:v>
                </c:pt>
                <c:pt idx="4">
                  <c:v>27</c:v>
                </c:pt>
                <c:pt idx="5">
                  <c:v>30</c:v>
                </c:pt>
                <c:pt idx="6">
                  <c:v>48</c:v>
                </c:pt>
                <c:pt idx="7">
                  <c:v>76</c:v>
                </c:pt>
                <c:pt idx="8">
                  <c:v>49</c:v>
                </c:pt>
                <c:pt idx="9">
                  <c:v>3</c:v>
                </c:pt>
              </c:numCache>
            </c:numRef>
          </c:val>
        </c:ser>
        <c:dLbls>
          <c:showLegendKey val="0"/>
          <c:showVal val="0"/>
          <c:showCatName val="0"/>
          <c:showSerName val="0"/>
          <c:showPercent val="0"/>
          <c:showBubbleSize val="0"/>
        </c:dLbls>
        <c:gapWidth val="150"/>
        <c:axId val="347110176"/>
        <c:axId val="347113704"/>
      </c:barChart>
      <c:catAx>
        <c:axId val="347110176"/>
        <c:scaling>
          <c:orientation val="minMax"/>
        </c:scaling>
        <c:delete val="0"/>
        <c:axPos val="l"/>
        <c:numFmt formatCode="General" sourceLinked="0"/>
        <c:majorTickMark val="out"/>
        <c:minorTickMark val="none"/>
        <c:tickLblPos val="nextTo"/>
        <c:txPr>
          <a:bodyPr/>
          <a:lstStyle/>
          <a:p>
            <a:pPr>
              <a:defRPr sz="1100"/>
            </a:pPr>
            <a:endParaRPr lang="en-US"/>
          </a:p>
        </c:txPr>
        <c:crossAx val="347113704"/>
        <c:crosses val="autoZero"/>
        <c:auto val="1"/>
        <c:lblAlgn val="ctr"/>
        <c:lblOffset val="100"/>
        <c:noMultiLvlLbl val="0"/>
      </c:catAx>
      <c:valAx>
        <c:axId val="347113704"/>
        <c:scaling>
          <c:orientation val="minMax"/>
          <c:min val="0"/>
        </c:scaling>
        <c:delete val="0"/>
        <c:axPos val="b"/>
        <c:numFmt formatCode="General" sourceLinked="1"/>
        <c:majorTickMark val="out"/>
        <c:minorTickMark val="none"/>
        <c:tickLblPos val="nextTo"/>
        <c:txPr>
          <a:bodyPr/>
          <a:lstStyle/>
          <a:p>
            <a:pPr>
              <a:defRPr sz="900"/>
            </a:pPr>
            <a:endParaRPr lang="en-US"/>
          </a:p>
        </c:txPr>
        <c:crossAx val="34711017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Ethnicity</c:v>
                </c:pt>
              </c:strCache>
            </c:strRef>
          </c:tx>
          <c:invertIfNegative val="1"/>
          <c:cat>
            <c:strRef>
              <c:f>Sheet1!$A$2:$A$17</c:f>
              <c:strCache>
                <c:ptCount val="16"/>
                <c:pt idx="0">
                  <c:v>Not Answered</c:v>
                </c:pt>
                <c:pt idx="1">
                  <c:v>Prefer not to say</c:v>
                </c:pt>
                <c:pt idx="2">
                  <c:v>Other Ethnic Group</c:v>
                </c:pt>
                <c:pt idx="3">
                  <c:v>Arab</c:v>
                </c:pt>
                <c:pt idx="4">
                  <c:v>Any other Mixed background</c:v>
                </c:pt>
                <c:pt idx="5">
                  <c:v>Mixed or Multiple Ethnic Group - White a
nd Asian</c:v>
                </c:pt>
                <c:pt idx="6">
                  <c:v>Mixed or Multiple Ethnic Group - White a
nd Black Caribbean</c:v>
                </c:pt>
                <c:pt idx="7">
                  <c:v>Any other Asian background</c:v>
                </c:pt>
                <c:pt idx="8">
                  <c:v>Asian or Asian British - Bangladeshi</c:v>
                </c:pt>
                <c:pt idx="9">
                  <c:v>Asian or Asian British - Pakistani</c:v>
                </c:pt>
                <c:pt idx="10">
                  <c:v>Asian or Asian British - Indian</c:v>
                </c:pt>
                <c:pt idx="11">
                  <c:v>Black or Black British - African</c:v>
                </c:pt>
                <c:pt idx="12">
                  <c:v>Black or Black British - Carribean</c:v>
                </c:pt>
                <c:pt idx="13">
                  <c:v>Any other white background</c:v>
                </c:pt>
                <c:pt idx="14">
                  <c:v>White Irish</c:v>
                </c:pt>
                <c:pt idx="15">
                  <c:v>White British - English, Welsh, Scottish
, Northern Irish</c:v>
                </c:pt>
              </c:strCache>
            </c:strRef>
          </c:cat>
          <c:val>
            <c:numRef>
              <c:f>Sheet1!$B$2:$B$17</c:f>
              <c:numCache>
                <c:formatCode>General</c:formatCode>
                <c:ptCount val="16"/>
                <c:pt idx="0">
                  <c:v>3</c:v>
                </c:pt>
                <c:pt idx="1">
                  <c:v>40</c:v>
                </c:pt>
                <c:pt idx="2">
                  <c:v>7</c:v>
                </c:pt>
                <c:pt idx="3">
                  <c:v>3</c:v>
                </c:pt>
                <c:pt idx="4">
                  <c:v>3</c:v>
                </c:pt>
                <c:pt idx="5">
                  <c:v>1</c:v>
                </c:pt>
                <c:pt idx="6">
                  <c:v>3</c:v>
                </c:pt>
                <c:pt idx="7">
                  <c:v>10</c:v>
                </c:pt>
                <c:pt idx="8">
                  <c:v>3</c:v>
                </c:pt>
                <c:pt idx="9">
                  <c:v>7</c:v>
                </c:pt>
                <c:pt idx="10">
                  <c:v>3</c:v>
                </c:pt>
                <c:pt idx="11">
                  <c:v>4</c:v>
                </c:pt>
                <c:pt idx="12">
                  <c:v>4</c:v>
                </c:pt>
                <c:pt idx="13">
                  <c:v>33</c:v>
                </c:pt>
                <c:pt idx="14">
                  <c:v>5</c:v>
                </c:pt>
                <c:pt idx="15">
                  <c:v>165</c:v>
                </c:pt>
              </c:numCache>
            </c:numRef>
          </c:val>
        </c:ser>
        <c:dLbls>
          <c:showLegendKey val="0"/>
          <c:showVal val="0"/>
          <c:showCatName val="0"/>
          <c:showSerName val="0"/>
          <c:showPercent val="0"/>
          <c:showBubbleSize val="0"/>
        </c:dLbls>
        <c:gapWidth val="150"/>
        <c:axId val="347110568"/>
        <c:axId val="347111744"/>
      </c:barChart>
      <c:catAx>
        <c:axId val="347110568"/>
        <c:scaling>
          <c:orientation val="minMax"/>
        </c:scaling>
        <c:delete val="0"/>
        <c:axPos val="l"/>
        <c:numFmt formatCode="General" sourceLinked="0"/>
        <c:majorTickMark val="out"/>
        <c:minorTickMark val="none"/>
        <c:tickLblPos val="nextTo"/>
        <c:txPr>
          <a:bodyPr/>
          <a:lstStyle/>
          <a:p>
            <a:pPr>
              <a:defRPr sz="1100"/>
            </a:pPr>
            <a:endParaRPr lang="en-US"/>
          </a:p>
        </c:txPr>
        <c:crossAx val="347111744"/>
        <c:crosses val="autoZero"/>
        <c:auto val="1"/>
        <c:lblAlgn val="ctr"/>
        <c:lblOffset val="100"/>
        <c:noMultiLvlLbl val="0"/>
      </c:catAx>
      <c:valAx>
        <c:axId val="347111744"/>
        <c:scaling>
          <c:orientation val="minMax"/>
          <c:min val="0"/>
        </c:scaling>
        <c:delete val="0"/>
        <c:axPos val="b"/>
        <c:numFmt formatCode="General" sourceLinked="1"/>
        <c:majorTickMark val="out"/>
        <c:minorTickMark val="none"/>
        <c:tickLblPos val="nextTo"/>
        <c:txPr>
          <a:bodyPr/>
          <a:lstStyle/>
          <a:p>
            <a:pPr>
              <a:defRPr sz="900"/>
            </a:pPr>
            <a:endParaRPr lang="en-US"/>
          </a:p>
        </c:txPr>
        <c:crossAx val="347110568"/>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Disability</c:v>
                </c:pt>
              </c:strCache>
            </c:strRef>
          </c:tx>
          <c:invertIfNegative val="1"/>
          <c:cat>
            <c:strRef>
              <c:f>Sheet1!$A$2:$A$6</c:f>
              <c:strCache>
                <c:ptCount val="5"/>
                <c:pt idx="0">
                  <c:v>Not Answered</c:v>
                </c:pt>
                <c:pt idx="1">
                  <c:v>Prefer not to say</c:v>
                </c:pt>
                <c:pt idx="2">
                  <c:v>No</c:v>
                </c:pt>
                <c:pt idx="3">
                  <c:v>Yes, limited a little</c:v>
                </c:pt>
                <c:pt idx="4">
                  <c:v>Yes, limited a lot</c:v>
                </c:pt>
              </c:strCache>
            </c:strRef>
          </c:cat>
          <c:val>
            <c:numRef>
              <c:f>Sheet1!$B$2:$B$6</c:f>
              <c:numCache>
                <c:formatCode>General</c:formatCode>
                <c:ptCount val="5"/>
                <c:pt idx="0">
                  <c:v>2</c:v>
                </c:pt>
                <c:pt idx="1">
                  <c:v>34</c:v>
                </c:pt>
                <c:pt idx="2">
                  <c:v>137</c:v>
                </c:pt>
                <c:pt idx="3">
                  <c:v>39</c:v>
                </c:pt>
                <c:pt idx="4">
                  <c:v>82</c:v>
                </c:pt>
              </c:numCache>
            </c:numRef>
          </c:val>
        </c:ser>
        <c:dLbls>
          <c:showLegendKey val="0"/>
          <c:showVal val="0"/>
          <c:showCatName val="0"/>
          <c:showSerName val="0"/>
          <c:showPercent val="0"/>
          <c:showBubbleSize val="0"/>
        </c:dLbls>
        <c:gapWidth val="150"/>
        <c:axId val="347112920"/>
        <c:axId val="347114096"/>
      </c:barChart>
      <c:catAx>
        <c:axId val="347112920"/>
        <c:scaling>
          <c:orientation val="minMax"/>
        </c:scaling>
        <c:delete val="0"/>
        <c:axPos val="l"/>
        <c:numFmt formatCode="General" sourceLinked="0"/>
        <c:majorTickMark val="out"/>
        <c:minorTickMark val="none"/>
        <c:tickLblPos val="nextTo"/>
        <c:txPr>
          <a:bodyPr/>
          <a:lstStyle/>
          <a:p>
            <a:pPr>
              <a:defRPr sz="1100"/>
            </a:pPr>
            <a:endParaRPr lang="en-US"/>
          </a:p>
        </c:txPr>
        <c:crossAx val="347114096"/>
        <c:crosses val="autoZero"/>
        <c:auto val="1"/>
        <c:lblAlgn val="ctr"/>
        <c:lblOffset val="100"/>
        <c:noMultiLvlLbl val="0"/>
      </c:catAx>
      <c:valAx>
        <c:axId val="347114096"/>
        <c:scaling>
          <c:orientation val="minMax"/>
          <c:min val="0"/>
        </c:scaling>
        <c:delete val="0"/>
        <c:axPos val="b"/>
        <c:numFmt formatCode="General" sourceLinked="1"/>
        <c:majorTickMark val="out"/>
        <c:minorTickMark val="none"/>
        <c:tickLblPos val="nextTo"/>
        <c:txPr>
          <a:bodyPr/>
          <a:lstStyle/>
          <a:p>
            <a:pPr>
              <a:defRPr sz="900"/>
            </a:pPr>
            <a:endParaRPr lang="en-US"/>
          </a:p>
        </c:txPr>
        <c:crossAx val="347112920"/>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uprating income bands</c:v>
                </c:pt>
              </c:strCache>
            </c:strRef>
          </c:tx>
          <c:invertIfNegative val="1"/>
          <c:cat>
            <c:strRef>
              <c:f>Sheet1!$A$2:$A$5</c:f>
              <c:strCache>
                <c:ptCount val="4"/>
                <c:pt idx="0">
                  <c:v>Not Answered</c:v>
                </c:pt>
                <c:pt idx="1">
                  <c:v>Do not know</c:v>
                </c:pt>
                <c:pt idx="2">
                  <c:v>Disagree</c:v>
                </c:pt>
                <c:pt idx="3">
                  <c:v>Agree</c:v>
                </c:pt>
              </c:strCache>
            </c:strRef>
          </c:cat>
          <c:val>
            <c:numRef>
              <c:f>Sheet1!$B$2:$B$5</c:f>
              <c:numCache>
                <c:formatCode>General</c:formatCode>
                <c:ptCount val="4"/>
                <c:pt idx="0">
                  <c:v>2</c:v>
                </c:pt>
                <c:pt idx="1">
                  <c:v>64</c:v>
                </c:pt>
                <c:pt idx="2">
                  <c:v>94</c:v>
                </c:pt>
                <c:pt idx="3">
                  <c:v>134</c:v>
                </c:pt>
              </c:numCache>
            </c:numRef>
          </c:val>
        </c:ser>
        <c:dLbls>
          <c:showLegendKey val="0"/>
          <c:showVal val="0"/>
          <c:showCatName val="0"/>
          <c:showSerName val="0"/>
          <c:showPercent val="0"/>
          <c:showBubbleSize val="0"/>
        </c:dLbls>
        <c:gapWidth val="150"/>
        <c:axId val="221591880"/>
        <c:axId val="221592664"/>
      </c:barChart>
      <c:catAx>
        <c:axId val="221591880"/>
        <c:scaling>
          <c:orientation val="minMax"/>
        </c:scaling>
        <c:delete val="0"/>
        <c:axPos val="l"/>
        <c:numFmt formatCode="General" sourceLinked="0"/>
        <c:majorTickMark val="out"/>
        <c:minorTickMark val="none"/>
        <c:tickLblPos val="nextTo"/>
        <c:txPr>
          <a:bodyPr/>
          <a:lstStyle/>
          <a:p>
            <a:pPr>
              <a:defRPr sz="1100"/>
            </a:pPr>
            <a:endParaRPr lang="en-US"/>
          </a:p>
        </c:txPr>
        <c:crossAx val="221592664"/>
        <c:crosses val="autoZero"/>
        <c:auto val="1"/>
        <c:lblAlgn val="ctr"/>
        <c:lblOffset val="100"/>
        <c:noMultiLvlLbl val="0"/>
      </c:catAx>
      <c:valAx>
        <c:axId val="221592664"/>
        <c:scaling>
          <c:orientation val="minMax"/>
          <c:min val="0"/>
        </c:scaling>
        <c:delete val="0"/>
        <c:axPos val="b"/>
        <c:numFmt formatCode="General" sourceLinked="1"/>
        <c:majorTickMark val="out"/>
        <c:minorTickMark val="none"/>
        <c:tickLblPos val="nextTo"/>
        <c:txPr>
          <a:bodyPr/>
          <a:lstStyle/>
          <a:p>
            <a:pPr>
              <a:defRPr sz="900"/>
            </a:pPr>
            <a:endParaRPr lang="en-US"/>
          </a:p>
        </c:txPr>
        <c:crossAx val="221591880"/>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freezing income bands</c:v>
                </c:pt>
              </c:strCache>
            </c:strRef>
          </c:tx>
          <c:invertIfNegative val="1"/>
          <c:cat>
            <c:strRef>
              <c:f>Sheet1!$A$2:$A$5</c:f>
              <c:strCache>
                <c:ptCount val="4"/>
                <c:pt idx="0">
                  <c:v>Not Answered</c:v>
                </c:pt>
                <c:pt idx="1">
                  <c:v>Do not know</c:v>
                </c:pt>
                <c:pt idx="2">
                  <c:v>Disagree</c:v>
                </c:pt>
                <c:pt idx="3">
                  <c:v>Agree</c:v>
                </c:pt>
              </c:strCache>
            </c:strRef>
          </c:cat>
          <c:val>
            <c:numRef>
              <c:f>Sheet1!$B$2:$B$5</c:f>
              <c:numCache>
                <c:formatCode>General</c:formatCode>
                <c:ptCount val="4"/>
                <c:pt idx="0">
                  <c:v>4</c:v>
                </c:pt>
                <c:pt idx="1">
                  <c:v>74</c:v>
                </c:pt>
                <c:pt idx="2">
                  <c:v>78</c:v>
                </c:pt>
                <c:pt idx="3">
                  <c:v>138</c:v>
                </c:pt>
              </c:numCache>
            </c:numRef>
          </c:val>
        </c:ser>
        <c:dLbls>
          <c:showLegendKey val="0"/>
          <c:showVal val="0"/>
          <c:showCatName val="0"/>
          <c:showSerName val="0"/>
          <c:showPercent val="0"/>
          <c:showBubbleSize val="0"/>
        </c:dLbls>
        <c:gapWidth val="150"/>
        <c:axId val="218152400"/>
        <c:axId val="218153184"/>
      </c:barChart>
      <c:catAx>
        <c:axId val="218152400"/>
        <c:scaling>
          <c:orientation val="minMax"/>
        </c:scaling>
        <c:delete val="0"/>
        <c:axPos val="l"/>
        <c:numFmt formatCode="General" sourceLinked="0"/>
        <c:majorTickMark val="out"/>
        <c:minorTickMark val="none"/>
        <c:tickLblPos val="nextTo"/>
        <c:txPr>
          <a:bodyPr/>
          <a:lstStyle/>
          <a:p>
            <a:pPr>
              <a:defRPr sz="1100"/>
            </a:pPr>
            <a:endParaRPr lang="en-US"/>
          </a:p>
        </c:txPr>
        <c:crossAx val="218153184"/>
        <c:crosses val="autoZero"/>
        <c:auto val="1"/>
        <c:lblAlgn val="ctr"/>
        <c:lblOffset val="100"/>
        <c:noMultiLvlLbl val="0"/>
      </c:catAx>
      <c:valAx>
        <c:axId val="218153184"/>
        <c:scaling>
          <c:orientation val="minMax"/>
          <c:min val="0"/>
        </c:scaling>
        <c:delete val="0"/>
        <c:axPos val="b"/>
        <c:numFmt formatCode="General" sourceLinked="1"/>
        <c:majorTickMark val="out"/>
        <c:minorTickMark val="none"/>
        <c:tickLblPos val="nextTo"/>
        <c:txPr>
          <a:bodyPr/>
          <a:lstStyle/>
          <a:p>
            <a:pPr>
              <a:defRPr sz="900"/>
            </a:pPr>
            <a:endParaRPr lang="en-US"/>
          </a:p>
        </c:txPr>
        <c:crossAx val="218152400"/>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Household affects banding structure</c:v>
                </c:pt>
              </c:strCache>
            </c:strRef>
          </c:tx>
          <c:invertIfNegative val="1"/>
          <c:cat>
            <c:strRef>
              <c:f>Sheet1!$A$2:$A$5</c:f>
              <c:strCache>
                <c:ptCount val="4"/>
                <c:pt idx="0">
                  <c:v>Not Answered</c:v>
                </c:pt>
                <c:pt idx="1">
                  <c:v>Do not know</c:v>
                </c:pt>
                <c:pt idx="2">
                  <c:v>No</c:v>
                </c:pt>
                <c:pt idx="3">
                  <c:v>Yes</c:v>
                </c:pt>
              </c:strCache>
            </c:strRef>
          </c:cat>
          <c:val>
            <c:numRef>
              <c:f>Sheet1!$B$2:$B$5</c:f>
              <c:numCache>
                <c:formatCode>General</c:formatCode>
                <c:ptCount val="4"/>
                <c:pt idx="0">
                  <c:v>1</c:v>
                </c:pt>
                <c:pt idx="1">
                  <c:v>73</c:v>
                </c:pt>
                <c:pt idx="2">
                  <c:v>66</c:v>
                </c:pt>
                <c:pt idx="3">
                  <c:v>154</c:v>
                </c:pt>
              </c:numCache>
            </c:numRef>
          </c:val>
        </c:ser>
        <c:dLbls>
          <c:showLegendKey val="0"/>
          <c:showVal val="0"/>
          <c:showCatName val="0"/>
          <c:showSerName val="0"/>
          <c:showPercent val="0"/>
          <c:showBubbleSize val="0"/>
        </c:dLbls>
        <c:gapWidth val="150"/>
        <c:axId val="219973376"/>
        <c:axId val="353586264"/>
      </c:barChart>
      <c:catAx>
        <c:axId val="219973376"/>
        <c:scaling>
          <c:orientation val="minMax"/>
        </c:scaling>
        <c:delete val="0"/>
        <c:axPos val="l"/>
        <c:numFmt formatCode="General" sourceLinked="0"/>
        <c:majorTickMark val="out"/>
        <c:minorTickMark val="none"/>
        <c:tickLblPos val="nextTo"/>
        <c:txPr>
          <a:bodyPr/>
          <a:lstStyle/>
          <a:p>
            <a:pPr>
              <a:defRPr sz="1100"/>
            </a:pPr>
            <a:endParaRPr lang="en-US"/>
          </a:p>
        </c:txPr>
        <c:crossAx val="353586264"/>
        <c:crosses val="autoZero"/>
        <c:auto val="1"/>
        <c:lblAlgn val="ctr"/>
        <c:lblOffset val="100"/>
        <c:noMultiLvlLbl val="0"/>
      </c:catAx>
      <c:valAx>
        <c:axId val="353586264"/>
        <c:scaling>
          <c:orientation val="minMax"/>
          <c:min val="0"/>
        </c:scaling>
        <c:delete val="0"/>
        <c:axPos val="b"/>
        <c:numFmt formatCode="General" sourceLinked="1"/>
        <c:majorTickMark val="out"/>
        <c:minorTickMark val="none"/>
        <c:tickLblPos val="nextTo"/>
        <c:txPr>
          <a:bodyPr/>
          <a:lstStyle/>
          <a:p>
            <a:pPr>
              <a:defRPr sz="900"/>
            </a:pPr>
            <a:endParaRPr lang="en-US"/>
          </a:p>
        </c:txPr>
        <c:crossAx val="21997337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minimum charge</c:v>
                </c:pt>
              </c:strCache>
            </c:strRef>
          </c:tx>
          <c:invertIfNegative val="1"/>
          <c:cat>
            <c:strRef>
              <c:f>Sheet1!$A$2:$A$4</c:f>
              <c:strCache>
                <c:ptCount val="3"/>
                <c:pt idx="0">
                  <c:v>Do not know</c:v>
                </c:pt>
                <c:pt idx="1">
                  <c:v>No</c:v>
                </c:pt>
                <c:pt idx="2">
                  <c:v>Yes</c:v>
                </c:pt>
              </c:strCache>
            </c:strRef>
          </c:cat>
          <c:val>
            <c:numRef>
              <c:f>Sheet1!$B$2:$B$4</c:f>
              <c:numCache>
                <c:formatCode>General</c:formatCode>
                <c:ptCount val="3"/>
                <c:pt idx="0">
                  <c:v>33</c:v>
                </c:pt>
                <c:pt idx="1">
                  <c:v>159</c:v>
                </c:pt>
                <c:pt idx="2">
                  <c:v>102</c:v>
                </c:pt>
              </c:numCache>
            </c:numRef>
          </c:val>
        </c:ser>
        <c:dLbls>
          <c:showLegendKey val="0"/>
          <c:showVal val="0"/>
          <c:showCatName val="0"/>
          <c:showSerName val="0"/>
          <c:showPercent val="0"/>
          <c:showBubbleSize val="0"/>
        </c:dLbls>
        <c:gapWidth val="150"/>
        <c:axId val="353589008"/>
        <c:axId val="353589400"/>
      </c:barChart>
      <c:catAx>
        <c:axId val="353589008"/>
        <c:scaling>
          <c:orientation val="minMax"/>
        </c:scaling>
        <c:delete val="0"/>
        <c:axPos val="l"/>
        <c:numFmt formatCode="General" sourceLinked="0"/>
        <c:majorTickMark val="out"/>
        <c:minorTickMark val="none"/>
        <c:tickLblPos val="nextTo"/>
        <c:txPr>
          <a:bodyPr/>
          <a:lstStyle/>
          <a:p>
            <a:pPr>
              <a:defRPr sz="1100"/>
            </a:pPr>
            <a:endParaRPr lang="en-US"/>
          </a:p>
        </c:txPr>
        <c:crossAx val="353589400"/>
        <c:crosses val="autoZero"/>
        <c:auto val="1"/>
        <c:lblAlgn val="ctr"/>
        <c:lblOffset val="100"/>
        <c:noMultiLvlLbl val="0"/>
      </c:catAx>
      <c:valAx>
        <c:axId val="353589400"/>
        <c:scaling>
          <c:orientation val="minMax"/>
          <c:min val="0"/>
        </c:scaling>
        <c:delete val="0"/>
        <c:axPos val="b"/>
        <c:numFmt formatCode="General" sourceLinked="1"/>
        <c:majorTickMark val="out"/>
        <c:minorTickMark val="none"/>
        <c:tickLblPos val="nextTo"/>
        <c:txPr>
          <a:bodyPr/>
          <a:lstStyle/>
          <a:p>
            <a:pPr>
              <a:defRPr sz="900"/>
            </a:pPr>
            <a:endParaRPr lang="en-US"/>
          </a:p>
        </c:txPr>
        <c:crossAx val="353589008"/>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all pay regardless of passporting</c:v>
                </c:pt>
              </c:strCache>
            </c:strRef>
          </c:tx>
          <c:invertIfNegative val="1"/>
          <c:cat>
            <c:strRef>
              <c:f>Sheet1!$A$2:$A$4</c:f>
              <c:strCache>
                <c:ptCount val="3"/>
                <c:pt idx="0">
                  <c:v>Do not know</c:v>
                </c:pt>
                <c:pt idx="1">
                  <c:v>No</c:v>
                </c:pt>
                <c:pt idx="2">
                  <c:v>Yes</c:v>
                </c:pt>
              </c:strCache>
            </c:strRef>
          </c:cat>
          <c:val>
            <c:numRef>
              <c:f>Sheet1!$B$2:$B$4</c:f>
              <c:numCache>
                <c:formatCode>General</c:formatCode>
                <c:ptCount val="3"/>
                <c:pt idx="0">
                  <c:v>27</c:v>
                </c:pt>
                <c:pt idx="1">
                  <c:v>177</c:v>
                </c:pt>
                <c:pt idx="2">
                  <c:v>90</c:v>
                </c:pt>
              </c:numCache>
            </c:numRef>
          </c:val>
        </c:ser>
        <c:dLbls>
          <c:showLegendKey val="0"/>
          <c:showVal val="0"/>
          <c:showCatName val="0"/>
          <c:showSerName val="0"/>
          <c:showPercent val="0"/>
          <c:showBubbleSize val="0"/>
        </c:dLbls>
        <c:gapWidth val="150"/>
        <c:axId val="353588224"/>
        <c:axId val="353587048"/>
      </c:barChart>
      <c:catAx>
        <c:axId val="353588224"/>
        <c:scaling>
          <c:orientation val="minMax"/>
        </c:scaling>
        <c:delete val="0"/>
        <c:axPos val="l"/>
        <c:numFmt formatCode="General" sourceLinked="0"/>
        <c:majorTickMark val="out"/>
        <c:minorTickMark val="none"/>
        <c:tickLblPos val="nextTo"/>
        <c:txPr>
          <a:bodyPr/>
          <a:lstStyle/>
          <a:p>
            <a:pPr>
              <a:defRPr sz="1100"/>
            </a:pPr>
            <a:endParaRPr lang="en-US"/>
          </a:p>
        </c:txPr>
        <c:crossAx val="353587048"/>
        <c:crosses val="autoZero"/>
        <c:auto val="1"/>
        <c:lblAlgn val="ctr"/>
        <c:lblOffset val="100"/>
        <c:noMultiLvlLbl val="0"/>
      </c:catAx>
      <c:valAx>
        <c:axId val="353587048"/>
        <c:scaling>
          <c:orientation val="minMax"/>
          <c:min val="0"/>
        </c:scaling>
        <c:delete val="0"/>
        <c:axPos val="b"/>
        <c:numFmt formatCode="General" sourceLinked="1"/>
        <c:majorTickMark val="out"/>
        <c:minorTickMark val="none"/>
        <c:tickLblPos val="nextTo"/>
        <c:txPr>
          <a:bodyPr/>
          <a:lstStyle/>
          <a:p>
            <a:pPr>
              <a:defRPr sz="900"/>
            </a:pPr>
            <a:endParaRPr lang="en-US"/>
          </a:p>
        </c:txPr>
        <c:crossAx val="353588224"/>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non deps</c:v>
                </c:pt>
              </c:strCache>
            </c:strRef>
          </c:tx>
          <c:invertIfNegative val="1"/>
          <c:cat>
            <c:strRef>
              <c:f>Sheet1!$A$2:$A$5</c:f>
              <c:strCache>
                <c:ptCount val="4"/>
                <c:pt idx="0">
                  <c:v>Not Answered</c:v>
                </c:pt>
                <c:pt idx="1">
                  <c:v>Do not know</c:v>
                </c:pt>
                <c:pt idx="2">
                  <c:v>No</c:v>
                </c:pt>
                <c:pt idx="3">
                  <c:v>Yes</c:v>
                </c:pt>
              </c:strCache>
            </c:strRef>
          </c:cat>
          <c:val>
            <c:numRef>
              <c:f>Sheet1!$B$2:$B$5</c:f>
              <c:numCache>
                <c:formatCode>General</c:formatCode>
                <c:ptCount val="4"/>
                <c:pt idx="0">
                  <c:v>4</c:v>
                </c:pt>
                <c:pt idx="1">
                  <c:v>77</c:v>
                </c:pt>
                <c:pt idx="2">
                  <c:v>99</c:v>
                </c:pt>
                <c:pt idx="3">
                  <c:v>114</c:v>
                </c:pt>
              </c:numCache>
            </c:numRef>
          </c:val>
        </c:ser>
        <c:dLbls>
          <c:showLegendKey val="0"/>
          <c:showVal val="0"/>
          <c:showCatName val="0"/>
          <c:showSerName val="0"/>
          <c:showPercent val="0"/>
          <c:showBubbleSize val="0"/>
        </c:dLbls>
        <c:gapWidth val="150"/>
        <c:axId val="353589792"/>
        <c:axId val="353587832"/>
      </c:barChart>
      <c:catAx>
        <c:axId val="353589792"/>
        <c:scaling>
          <c:orientation val="minMax"/>
        </c:scaling>
        <c:delete val="0"/>
        <c:axPos val="l"/>
        <c:numFmt formatCode="General" sourceLinked="0"/>
        <c:majorTickMark val="out"/>
        <c:minorTickMark val="none"/>
        <c:tickLblPos val="nextTo"/>
        <c:txPr>
          <a:bodyPr/>
          <a:lstStyle/>
          <a:p>
            <a:pPr>
              <a:defRPr sz="1100"/>
            </a:pPr>
            <a:endParaRPr lang="en-US"/>
          </a:p>
        </c:txPr>
        <c:crossAx val="353587832"/>
        <c:crosses val="autoZero"/>
        <c:auto val="1"/>
        <c:lblAlgn val="ctr"/>
        <c:lblOffset val="100"/>
        <c:noMultiLvlLbl val="0"/>
      </c:catAx>
      <c:valAx>
        <c:axId val="353587832"/>
        <c:scaling>
          <c:orientation val="minMax"/>
          <c:min val="0"/>
        </c:scaling>
        <c:delete val="0"/>
        <c:axPos val="b"/>
        <c:numFmt formatCode="General" sourceLinked="1"/>
        <c:majorTickMark val="out"/>
        <c:minorTickMark val="none"/>
        <c:tickLblPos val="nextTo"/>
        <c:txPr>
          <a:bodyPr/>
          <a:lstStyle/>
          <a:p>
            <a:pPr>
              <a:defRPr sz="900"/>
            </a:pPr>
            <a:endParaRPr lang="en-US"/>
          </a:p>
        </c:txPr>
        <c:crossAx val="353589792"/>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increase Ctax</c:v>
                </c:pt>
              </c:strCache>
            </c:strRef>
          </c:tx>
          <c:invertIfNegative val="1"/>
          <c:cat>
            <c:strRef>
              <c:f>Sheet1!$A$2:$A$5</c:f>
              <c:strCache>
                <c:ptCount val="4"/>
                <c:pt idx="0">
                  <c:v>Not Answered</c:v>
                </c:pt>
                <c:pt idx="1">
                  <c:v>Do not know</c:v>
                </c:pt>
                <c:pt idx="2">
                  <c:v>No</c:v>
                </c:pt>
                <c:pt idx="3">
                  <c:v>Yes</c:v>
                </c:pt>
              </c:strCache>
            </c:strRef>
          </c:cat>
          <c:val>
            <c:numRef>
              <c:f>Sheet1!$B$2:$B$5</c:f>
              <c:numCache>
                <c:formatCode>General</c:formatCode>
                <c:ptCount val="4"/>
                <c:pt idx="0">
                  <c:v>3</c:v>
                </c:pt>
                <c:pt idx="1">
                  <c:v>42</c:v>
                </c:pt>
                <c:pt idx="2">
                  <c:v>207</c:v>
                </c:pt>
                <c:pt idx="3">
                  <c:v>42</c:v>
                </c:pt>
              </c:numCache>
            </c:numRef>
          </c:val>
        </c:ser>
        <c:dLbls>
          <c:showLegendKey val="0"/>
          <c:showVal val="0"/>
          <c:showCatName val="0"/>
          <c:showSerName val="0"/>
          <c:showPercent val="0"/>
          <c:showBubbleSize val="0"/>
        </c:dLbls>
        <c:gapWidth val="150"/>
        <c:axId val="464401712"/>
        <c:axId val="464400928"/>
      </c:barChart>
      <c:catAx>
        <c:axId val="464401712"/>
        <c:scaling>
          <c:orientation val="minMax"/>
        </c:scaling>
        <c:delete val="0"/>
        <c:axPos val="l"/>
        <c:numFmt formatCode="General" sourceLinked="0"/>
        <c:majorTickMark val="out"/>
        <c:minorTickMark val="none"/>
        <c:tickLblPos val="nextTo"/>
        <c:txPr>
          <a:bodyPr/>
          <a:lstStyle/>
          <a:p>
            <a:pPr>
              <a:defRPr sz="1100"/>
            </a:pPr>
            <a:endParaRPr lang="en-US"/>
          </a:p>
        </c:txPr>
        <c:crossAx val="464400928"/>
        <c:crosses val="autoZero"/>
        <c:auto val="1"/>
        <c:lblAlgn val="ctr"/>
        <c:lblOffset val="100"/>
        <c:noMultiLvlLbl val="0"/>
      </c:catAx>
      <c:valAx>
        <c:axId val="464400928"/>
        <c:scaling>
          <c:orientation val="minMax"/>
          <c:min val="0"/>
        </c:scaling>
        <c:delete val="0"/>
        <c:axPos val="b"/>
        <c:numFmt formatCode="General" sourceLinked="1"/>
        <c:majorTickMark val="out"/>
        <c:minorTickMark val="none"/>
        <c:tickLblPos val="nextTo"/>
        <c:txPr>
          <a:bodyPr/>
          <a:lstStyle/>
          <a:p>
            <a:pPr>
              <a:defRPr sz="900"/>
            </a:pPr>
            <a:endParaRPr lang="en-US"/>
          </a:p>
        </c:txPr>
        <c:crossAx val="464401712"/>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cut services</c:v>
                </c:pt>
              </c:strCache>
            </c:strRef>
          </c:tx>
          <c:invertIfNegative val="1"/>
          <c:cat>
            <c:strRef>
              <c:f>Sheet1!$A$2:$A$5</c:f>
              <c:strCache>
                <c:ptCount val="4"/>
                <c:pt idx="0">
                  <c:v>Not Answered</c:v>
                </c:pt>
                <c:pt idx="1">
                  <c:v>Do not know</c:v>
                </c:pt>
                <c:pt idx="2">
                  <c:v>No</c:v>
                </c:pt>
                <c:pt idx="3">
                  <c:v>Yes</c:v>
                </c:pt>
              </c:strCache>
            </c:strRef>
          </c:cat>
          <c:val>
            <c:numRef>
              <c:f>Sheet1!$B$2:$B$5</c:f>
              <c:numCache>
                <c:formatCode>General</c:formatCode>
                <c:ptCount val="4"/>
                <c:pt idx="0">
                  <c:v>5</c:v>
                </c:pt>
                <c:pt idx="1">
                  <c:v>51</c:v>
                </c:pt>
                <c:pt idx="2">
                  <c:v>114</c:v>
                </c:pt>
                <c:pt idx="3">
                  <c:v>124</c:v>
                </c:pt>
              </c:numCache>
            </c:numRef>
          </c:val>
        </c:ser>
        <c:dLbls>
          <c:showLegendKey val="0"/>
          <c:showVal val="0"/>
          <c:showCatName val="0"/>
          <c:showSerName val="0"/>
          <c:showPercent val="0"/>
          <c:showBubbleSize val="0"/>
        </c:dLbls>
        <c:gapWidth val="150"/>
        <c:axId val="464402104"/>
        <c:axId val="464402888"/>
      </c:barChart>
      <c:catAx>
        <c:axId val="464402104"/>
        <c:scaling>
          <c:orientation val="minMax"/>
        </c:scaling>
        <c:delete val="0"/>
        <c:axPos val="l"/>
        <c:numFmt formatCode="General" sourceLinked="0"/>
        <c:majorTickMark val="out"/>
        <c:minorTickMark val="none"/>
        <c:tickLblPos val="nextTo"/>
        <c:txPr>
          <a:bodyPr/>
          <a:lstStyle/>
          <a:p>
            <a:pPr>
              <a:defRPr sz="1100"/>
            </a:pPr>
            <a:endParaRPr lang="en-US"/>
          </a:p>
        </c:txPr>
        <c:crossAx val="464402888"/>
        <c:crosses val="autoZero"/>
        <c:auto val="1"/>
        <c:lblAlgn val="ctr"/>
        <c:lblOffset val="100"/>
        <c:noMultiLvlLbl val="0"/>
      </c:catAx>
      <c:valAx>
        <c:axId val="464402888"/>
        <c:scaling>
          <c:orientation val="minMax"/>
          <c:min val="0"/>
        </c:scaling>
        <c:delete val="0"/>
        <c:axPos val="b"/>
        <c:numFmt formatCode="General" sourceLinked="1"/>
        <c:majorTickMark val="out"/>
        <c:minorTickMark val="none"/>
        <c:tickLblPos val="nextTo"/>
        <c:txPr>
          <a:bodyPr/>
          <a:lstStyle/>
          <a:p>
            <a:pPr>
              <a:defRPr sz="900"/>
            </a:pPr>
            <a:endParaRPr lang="en-US"/>
          </a:p>
        </c:txPr>
        <c:crossAx val="464402104"/>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CF62-DB19-45A4-9156-E0EDB01A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8606E0A9</Template>
  <TotalTime>37</TotalTime>
  <Pages>26</Pages>
  <Words>5212</Words>
  <Characters>25924</Characters>
  <Application>Microsoft Office Word</Application>
  <DocSecurity>0</DocSecurity>
  <Lines>216</Lines>
  <Paragraphs>62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LUND Emma</cp:lastModifiedBy>
  <cp:revision>7</cp:revision>
  <cp:lastPrinted>2015-07-03T13:50:00Z</cp:lastPrinted>
  <dcterms:created xsi:type="dcterms:W3CDTF">2021-12-14T08:08:00Z</dcterms:created>
  <dcterms:modified xsi:type="dcterms:W3CDTF">2022-01-18T09:04:00Z</dcterms:modified>
</cp:coreProperties>
</file>